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2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2"/>
        <w:gridCol w:w="819"/>
        <w:gridCol w:w="3247"/>
        <w:gridCol w:w="4705"/>
      </w:tblGrid>
      <w:tr w:rsidR="0065387D">
        <w:trPr>
          <w:cantSplit/>
          <w:trHeight w:hRule="exact" w:val="588"/>
        </w:trPr>
        <w:tc>
          <w:tcPr>
            <w:tcW w:w="2451" w:type="dxa"/>
            <w:shd w:val="clear" w:color="auto" w:fill="auto"/>
          </w:tcPr>
          <w:p w:rsidR="0065387D" w:rsidRDefault="00CF259C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="Calibri" w:eastAsia="Calibri" w:hAnsi="Calibri"/>
                <w:color w:val="auto"/>
                <w:sz w:val="22"/>
              </w:rPr>
            </w:pPr>
            <w:r>
              <w:rPr>
                <w:noProof/>
              </w:rPr>
              <w:drawing>
                <wp:inline distT="0" distB="0" distL="0" distR="0">
                  <wp:extent cx="1352550" cy="361950"/>
                  <wp:effectExtent l="0" t="0" r="0" b="0"/>
                  <wp:docPr id="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" w:type="dxa"/>
            <w:tcBorders>
              <w:right w:val="single" w:sz="2" w:space="0" w:color="000000"/>
            </w:tcBorders>
            <w:shd w:val="clear" w:color="auto" w:fill="auto"/>
          </w:tcPr>
          <w:p w:rsidR="0065387D" w:rsidRDefault="0065387D">
            <w:pPr>
              <w:widowControl w:val="0"/>
              <w:spacing w:after="0" w:line="240" w:lineRule="auto"/>
              <w:ind w:left="0" w:right="0" w:firstLine="0"/>
              <w:jc w:val="right"/>
              <w:rPr>
                <w:rFonts w:ascii="Calibri" w:eastAsia="Calibri" w:hAnsi="Calibri" w:cs="Times New Roman"/>
                <w:bCs/>
                <w:color w:val="auto"/>
                <w:sz w:val="32"/>
              </w:rPr>
            </w:pPr>
          </w:p>
        </w:tc>
        <w:tc>
          <w:tcPr>
            <w:tcW w:w="324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65387D" w:rsidRDefault="00CF259C">
            <w:pPr>
              <w:widowControl w:val="0"/>
              <w:tabs>
                <w:tab w:val="left" w:pos="340"/>
              </w:tabs>
              <w:spacing w:after="0" w:line="200" w:lineRule="exact"/>
              <w:ind w:left="170" w:right="0" w:firstLine="0"/>
              <w:jc w:val="left"/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t>ПАО «Группа Ренессанс Страхование»</w:t>
            </w:r>
            <w:r>
              <w:rPr>
                <w:rFonts w:ascii="Calibri" w:eastAsia="MingLiU" w:hAnsi="Calibri" w:cs="MingLiU"/>
                <w:bCs/>
                <w:color w:val="auto"/>
                <w:sz w:val="16"/>
                <w:szCs w:val="16"/>
              </w:rPr>
              <w:br/>
            </w: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t>www.renins.ru</w:t>
            </w: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br/>
              <w:t>info@renins.com</w:t>
            </w:r>
          </w:p>
        </w:tc>
        <w:tc>
          <w:tcPr>
            <w:tcW w:w="4705" w:type="dxa"/>
            <w:tcBorders>
              <w:left w:val="single" w:sz="2" w:space="0" w:color="000000"/>
            </w:tcBorders>
            <w:shd w:val="clear" w:color="auto" w:fill="auto"/>
          </w:tcPr>
          <w:p w:rsidR="0065387D" w:rsidRDefault="00CF259C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  <w:t xml:space="preserve">   121614, г. Москва, </w:t>
            </w:r>
            <w:proofErr w:type="spellStart"/>
            <w:r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  <w:t>вн.тер.г</w:t>
            </w:r>
            <w:proofErr w:type="spellEnd"/>
            <w:r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  <w:t xml:space="preserve">. муниципальный округ Крылатское, </w:t>
            </w:r>
          </w:p>
          <w:p w:rsidR="0065387D" w:rsidRDefault="00CF259C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  <w:t xml:space="preserve">   ул. Крылатская, д. 17, к. 1</w:t>
            </w:r>
          </w:p>
          <w:p w:rsidR="0065387D" w:rsidRDefault="00CF259C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="ArialNarrow" w:eastAsiaTheme="minorHAnsi" w:hAnsi="ArialNarrow" w:cs="ArialNarrow"/>
                <w:color w:val="auto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t xml:space="preserve">   Тел.: 8 495 725-10-50</w:t>
            </w: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br/>
              <w:t>Факс: 8 495 967-35-35</w:t>
            </w:r>
          </w:p>
        </w:tc>
      </w:tr>
      <w:tr w:rsidR="0065387D">
        <w:trPr>
          <w:cantSplit/>
          <w:trHeight w:val="271"/>
        </w:trPr>
        <w:tc>
          <w:tcPr>
            <w:tcW w:w="11222" w:type="dxa"/>
            <w:gridSpan w:val="4"/>
            <w:shd w:val="clear" w:color="auto" w:fill="auto"/>
          </w:tcPr>
          <w:p w:rsidR="0065387D" w:rsidRDefault="0065387D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="Calibri" w:eastAsia="Calibri" w:hAnsi="Calibri" w:cs="Times New Roman"/>
                <w:color w:val="auto"/>
                <w:sz w:val="36"/>
              </w:rPr>
            </w:pPr>
          </w:p>
        </w:tc>
      </w:tr>
    </w:tbl>
    <w:tbl>
      <w:tblPr>
        <w:tblStyle w:val="12"/>
        <w:tblW w:w="1091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081"/>
        <w:gridCol w:w="2830"/>
      </w:tblGrid>
      <w:tr w:rsidR="0065387D">
        <w:trPr>
          <w:trHeight w:val="1425"/>
        </w:trPr>
        <w:tc>
          <w:tcPr>
            <w:tcW w:w="8080" w:type="dxa"/>
            <w:tcBorders>
              <w:top w:val="nil"/>
              <w:left w:val="nil"/>
              <w:bottom w:val="nil"/>
            </w:tcBorders>
          </w:tcPr>
          <w:p w:rsidR="0065387D" w:rsidRDefault="00CF259C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b/>
                <w:color w:val="auto"/>
                <w:sz w:val="24"/>
                <w:szCs w:val="20"/>
                <w:lang w:eastAsia="en-US"/>
              </w:rPr>
            </w:pPr>
            <w:r>
              <w:rPr>
                <w:rFonts w:eastAsia="Calibri"/>
                <w:b/>
                <w:color w:val="auto"/>
                <w:sz w:val="24"/>
                <w:szCs w:val="20"/>
                <w:lang w:eastAsia="en-US"/>
              </w:rPr>
              <w:t>Ключевой информационный документ об условиях договора добровольного страхования бытовой техники и электроники</w:t>
            </w:r>
          </w:p>
          <w:p w:rsidR="0065387D" w:rsidRDefault="0065387D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</w:p>
          <w:p w:rsidR="00E14E21" w:rsidRDefault="00CF259C" w:rsidP="00D05CBF">
            <w:pPr>
              <w:spacing w:after="0" w:line="240" w:lineRule="auto"/>
              <w:ind w:left="0" w:right="0" w:firstLine="322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D16AF7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подготовлен на основании Полисных условий страхования бытовой техники и электроники №1, разработанных на основании Правил страхования бытовой техники и электроники №1, утверждённых Приказом генерального директора Страховщика № 170 от 26.09.2019 г. (далее – </w:t>
            </w:r>
            <w:r w:rsidR="00DB37E4" w:rsidRPr="00D16AF7">
              <w:rPr>
                <w:rFonts w:eastAsia="Calibri"/>
                <w:color w:val="auto"/>
                <w:sz w:val="24"/>
                <w:szCs w:val="24"/>
                <w:lang w:eastAsia="en-US"/>
              </w:rPr>
              <w:t>Полисные условия</w:t>
            </w:r>
            <w:r w:rsidRPr="00D16AF7">
              <w:rPr>
                <w:rFonts w:eastAsia="Calibri"/>
                <w:color w:val="auto"/>
                <w:sz w:val="24"/>
                <w:szCs w:val="24"/>
                <w:lang w:eastAsia="en-US"/>
              </w:rPr>
              <w:t>).</w:t>
            </w:r>
            <w:r w:rsidR="00D16AF7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 w:rsidR="00D16AF7">
              <w:rPr>
                <w:sz w:val="24"/>
                <w:szCs w:val="24"/>
              </w:rPr>
              <w:t>Полисные условия</w:t>
            </w:r>
            <w:r w:rsidR="00D16AF7" w:rsidRPr="00D16AF7">
              <w:rPr>
                <w:sz w:val="24"/>
                <w:szCs w:val="24"/>
              </w:rPr>
              <w:t xml:space="preserve"> размещены на официальном сайте по ссылке:</w:t>
            </w:r>
            <w:r w:rsidR="00D05CBF">
              <w:t xml:space="preserve"> </w:t>
            </w:r>
            <w:hyperlink r:id="rId9" w:history="1">
              <w:r w:rsidR="00D05CBF" w:rsidRPr="00817FB4">
                <w:rPr>
                  <w:rStyle w:val="Hyperlink"/>
                  <w:sz w:val="24"/>
                  <w:szCs w:val="24"/>
                </w:rPr>
                <w:t>https://www.renins.ru/Media/Default/doc/rules_new/139.1.pdf</w:t>
              </w:r>
            </w:hyperlink>
          </w:p>
          <w:p w:rsidR="00D05CBF" w:rsidRDefault="00D05CBF" w:rsidP="00D05CBF">
            <w:pPr>
              <w:spacing w:after="0" w:line="240" w:lineRule="auto"/>
              <w:ind w:left="0" w:right="0" w:firstLine="322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:rsidR="00D05CBF" w:rsidRDefault="00D05CBF" w:rsidP="00D05CBF">
            <w:pPr>
              <w:spacing w:after="0" w:line="240" w:lineRule="auto"/>
              <w:ind w:left="0" w:right="0" w:firstLine="322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30" w:type="dxa"/>
            <w:vAlign w:val="center"/>
          </w:tcPr>
          <w:p w:rsidR="0065387D" w:rsidRDefault="00D90157">
            <w:pPr>
              <w:spacing w:after="120" w:line="240" w:lineRule="auto"/>
              <w:ind w:left="0"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noProof/>
                <w:color w:val="auto"/>
                <w:sz w:val="20"/>
                <w:szCs w:val="20"/>
                <w:lang w:eastAsia="en-US"/>
              </w:rPr>
              <w:drawing>
                <wp:inline distT="0" distB="0" distL="0" distR="0">
                  <wp:extent cx="1417443" cy="135647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qr для ПУ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443" cy="1356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tbl>
      <w:tblPr>
        <w:tblStyle w:val="3"/>
        <w:tblW w:w="10916" w:type="dxa"/>
        <w:tblLayout w:type="fixed"/>
        <w:tblLook w:val="04A0" w:firstRow="1" w:lastRow="0" w:firstColumn="1" w:lastColumn="0" w:noHBand="0" w:noVBand="1"/>
      </w:tblPr>
      <w:tblGrid>
        <w:gridCol w:w="6806"/>
        <w:gridCol w:w="4110"/>
      </w:tblGrid>
      <w:tr w:rsidR="0065387D">
        <w:tc>
          <w:tcPr>
            <w:tcW w:w="10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387D" w:rsidRDefault="00CF259C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>Страховщик:</w:t>
            </w:r>
            <w:r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ПАО “Группа Ренессанс Страхование”,</w:t>
            </w:r>
            <w:r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  <w:t xml:space="preserve"> </w:t>
            </w:r>
          </w:p>
          <w:p w:rsidR="0065387D" w:rsidRDefault="00CF259C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121614, г. Москва, </w:t>
            </w:r>
            <w:proofErr w:type="spellStart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вн.тер.г</w:t>
            </w:r>
            <w:proofErr w:type="spellEnd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. муниципальный округ Крылатское, ул. Крылатская, д. 17, к. 1</w:t>
            </w:r>
          </w:p>
        </w:tc>
      </w:tr>
      <w:tr w:rsidR="0065387D">
        <w:trPr>
          <w:trHeight w:val="294"/>
        </w:trPr>
        <w:tc>
          <w:tcPr>
            <w:tcW w:w="10915" w:type="dxa"/>
            <w:gridSpan w:val="2"/>
          </w:tcPr>
          <w:p w:rsidR="0065387D" w:rsidRDefault="00CF259C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>Раздел I. ЧТО ЗАСТРАХОВАНО?</w:t>
            </w:r>
          </w:p>
        </w:tc>
      </w:tr>
      <w:tr w:rsidR="0065387D">
        <w:trPr>
          <w:trHeight w:val="598"/>
        </w:trPr>
        <w:tc>
          <w:tcPr>
            <w:tcW w:w="10915" w:type="dxa"/>
            <w:gridSpan w:val="2"/>
          </w:tcPr>
          <w:p w:rsidR="0065387D" w:rsidRDefault="00CF259C">
            <w:p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1. Случайное повреждение (п. 2.2.5. Полисных условий),</w:t>
            </w:r>
          </w:p>
          <w:p w:rsidR="0065387D" w:rsidRDefault="00CF259C">
            <w:p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2. Противоправные действия третьих лиц (п. 2.2.3. Полисных условий),</w:t>
            </w:r>
          </w:p>
          <w:p w:rsidR="0065387D" w:rsidRDefault="00CF259C">
            <w:p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3. Незаконное использование сим-карты (п. 2.2.4. Полисных условий).</w:t>
            </w:r>
          </w:p>
        </w:tc>
      </w:tr>
      <w:tr w:rsidR="0065387D">
        <w:tc>
          <w:tcPr>
            <w:tcW w:w="10915" w:type="dxa"/>
            <w:gridSpan w:val="2"/>
          </w:tcPr>
          <w:p w:rsidR="0065387D" w:rsidRDefault="00CF259C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 xml:space="preserve">Раздел </w:t>
            </w:r>
            <w:r>
              <w:rPr>
                <w:rFonts w:eastAsia="Times New Roman"/>
                <w:b/>
                <w:color w:val="auto"/>
                <w:sz w:val="24"/>
                <w:szCs w:val="24"/>
                <w:lang w:val="de-DE"/>
              </w:rPr>
              <w:t>II</w:t>
            </w:r>
            <w:r>
              <w:rPr>
                <w:rFonts w:eastAsia="Times New Roman"/>
                <w:b/>
                <w:color w:val="auto"/>
                <w:sz w:val="24"/>
                <w:szCs w:val="24"/>
              </w:rPr>
              <w:t>. ЧТО НЕ ЗАСТРАХОВАНО?</w:t>
            </w:r>
          </w:p>
        </w:tc>
      </w:tr>
      <w:tr w:rsidR="0065387D">
        <w:tc>
          <w:tcPr>
            <w:tcW w:w="10915" w:type="dxa"/>
            <w:gridSpan w:val="2"/>
          </w:tcPr>
          <w:p w:rsidR="0065387D" w:rsidRDefault="00CF259C" w:rsidP="00E14E21">
            <w:pPr>
              <w:spacing w:after="0" w:line="240" w:lineRule="auto"/>
              <w:ind w:left="0" w:right="0" w:firstLine="0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Исключения из объёма страхового</w:t>
            </w:r>
            <w:r w:rsidR="00E14E21">
              <w:rPr>
                <w:rFonts w:eastAsia="Times New Roman"/>
                <w:color w:val="auto"/>
                <w:sz w:val="24"/>
                <w:szCs w:val="24"/>
              </w:rPr>
              <w:t xml:space="preserve"> покрытия определяются в разделе </w:t>
            </w:r>
            <w:r>
              <w:rPr>
                <w:rFonts w:eastAsia="Times New Roman"/>
                <w:color w:val="auto"/>
                <w:sz w:val="24"/>
                <w:szCs w:val="24"/>
              </w:rPr>
              <w:t xml:space="preserve">3 </w:t>
            </w:r>
            <w:r w:rsidR="00DB37E4">
              <w:rPr>
                <w:rFonts w:eastAsia="Times New Roman"/>
                <w:color w:val="auto"/>
                <w:sz w:val="24"/>
                <w:szCs w:val="24"/>
              </w:rPr>
              <w:t>Полисных условий</w:t>
            </w:r>
            <w:r>
              <w:rPr>
                <w:rFonts w:eastAsia="Times New Roman"/>
                <w:color w:val="auto"/>
                <w:sz w:val="24"/>
                <w:szCs w:val="24"/>
              </w:rPr>
              <w:t xml:space="preserve">. </w:t>
            </w:r>
          </w:p>
          <w:p w:rsidR="0065387D" w:rsidRDefault="00CF259C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События, которые не застрахованы по конкретному Договору страхования и не указаны в нем</w:t>
            </w:r>
          </w:p>
          <w:p w:rsidR="0065387D" w:rsidRDefault="00CF259C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Поломка Техники, покрываемая гарантийными обязательствами производителя в период действия таких обязательств </w:t>
            </w:r>
          </w:p>
          <w:p w:rsidR="0065387D" w:rsidRDefault="00CF259C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Любые внешние или механические воздействия на Технику, за исключением случаев, когда такие риски застрахованы</w:t>
            </w:r>
          </w:p>
          <w:p w:rsidR="0065387D" w:rsidRDefault="00CF259C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Утрата Техники в результате изъятия, конфискации, реквизиции, ареста или уничтожения по распоряжению государственных органов</w:t>
            </w:r>
          </w:p>
          <w:p w:rsidR="0065387D" w:rsidRDefault="00CF259C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Косметические повреждения (царапины, сколы и т. д.), не влияющие на основное функциональное назначение Товара и его работоспособность</w:t>
            </w:r>
          </w:p>
          <w:p w:rsidR="0065387D" w:rsidRDefault="00CF259C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Гниение, коррозия или другие естественные процессы изменения свойств застрахованного Товара, за исключением случаев, когда такие процессы являются следствием наступления застрахованных рисков, например: воздействие огня, ударов молнии, жидкости при аварии инженерных систем и т.д.</w:t>
            </w:r>
          </w:p>
          <w:p w:rsidR="0065387D" w:rsidRDefault="00CF259C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Потеря застрахованного Имущества или оставление застрахованного Имущества в ненадлежащих условиях хранения либо без присмотра, повлекшего повреждение/утрату застрахованного Имущества</w:t>
            </w:r>
          </w:p>
          <w:p w:rsidR="0065387D" w:rsidRDefault="00CF259C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По риску «Противоправные действия третьих лиц» не являются наступившими страховыми случаями события с застрахованным Имуществом, произошедшие: </w:t>
            </w:r>
          </w:p>
          <w:p w:rsidR="0065387D" w:rsidRDefault="00CF259C">
            <w:pPr>
              <w:numPr>
                <w:ilvl w:val="0"/>
                <w:numId w:val="2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Во время его нахождения в любых видах транспортных средств как устройств, предназначенных для перевозки физических лиц, грузов, багажа, ручной клади, личных вещей, животных или оборудования в значениях, определенных транспортными кодексами и уставами (ст. 1 ФЗ «О транспортной безопасности» № 16-ФЗ). </w:t>
            </w:r>
          </w:p>
          <w:p w:rsidR="0065387D" w:rsidRDefault="00CF259C">
            <w:pPr>
              <w:numPr>
                <w:ilvl w:val="0"/>
                <w:numId w:val="2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В неустановленном месте или в неустановленное время с точностью до двух часов.</w:t>
            </w:r>
          </w:p>
          <w:p w:rsidR="0065387D" w:rsidRDefault="00CF259C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Иные события, не являющиеся страховым случаем, перечисленные в Разделе 3 </w:t>
            </w:r>
            <w:r w:rsidR="00DB37E4">
              <w:rPr>
                <w:rFonts w:eastAsia="Times New Roman"/>
                <w:color w:val="auto"/>
                <w:sz w:val="24"/>
                <w:szCs w:val="24"/>
              </w:rPr>
              <w:t>Полисных условий</w:t>
            </w:r>
            <w:r>
              <w:rPr>
                <w:rFonts w:eastAsia="Times New Roman"/>
                <w:color w:val="auto"/>
                <w:sz w:val="24"/>
                <w:szCs w:val="24"/>
              </w:rPr>
              <w:t>.</w:t>
            </w:r>
          </w:p>
        </w:tc>
      </w:tr>
      <w:tr w:rsidR="0065387D">
        <w:tc>
          <w:tcPr>
            <w:tcW w:w="10915" w:type="dxa"/>
            <w:gridSpan w:val="2"/>
          </w:tcPr>
          <w:p w:rsidR="0065387D" w:rsidRDefault="00CF259C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center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NewRomanPS-BoldMT" w:eastAsia="Calibri" w:hAnsi="TimesNewRomanPS-BoldMT" w:cs="TimesNewRomanPS-BoldMT"/>
                <w:b/>
                <w:bCs/>
                <w:color w:val="auto"/>
                <w:sz w:val="24"/>
                <w:szCs w:val="24"/>
                <w:lang w:eastAsia="en-US"/>
              </w:rPr>
              <w:t>Раздел III. ТЕРРИТОРИЯ СТРАХОВАНИЯ</w:t>
            </w:r>
          </w:p>
        </w:tc>
      </w:tr>
      <w:tr w:rsidR="0065387D">
        <w:tc>
          <w:tcPr>
            <w:tcW w:w="10915" w:type="dxa"/>
            <w:gridSpan w:val="2"/>
          </w:tcPr>
          <w:p w:rsidR="0065387D" w:rsidRDefault="00CF259C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Страхование действует на территории: Весь мир.</w:t>
            </w:r>
          </w:p>
        </w:tc>
      </w:tr>
      <w:tr w:rsidR="0065387D">
        <w:trPr>
          <w:trHeight w:val="237"/>
        </w:trPr>
        <w:tc>
          <w:tcPr>
            <w:tcW w:w="10915" w:type="dxa"/>
            <w:gridSpan w:val="2"/>
          </w:tcPr>
          <w:p w:rsidR="0065387D" w:rsidRDefault="00CF259C">
            <w:pPr>
              <w:tabs>
                <w:tab w:val="left" w:pos="30"/>
              </w:tabs>
              <w:spacing w:after="0" w:line="276" w:lineRule="auto"/>
              <w:ind w:left="30" w:right="0" w:firstLine="0"/>
              <w:contextualSpacing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lastRenderedPageBreak/>
              <w:t xml:space="preserve">Раздел </w:t>
            </w:r>
            <w:r>
              <w:rPr>
                <w:rFonts w:eastAsia="Times New Roman"/>
                <w:b/>
                <w:color w:val="auto"/>
                <w:sz w:val="24"/>
                <w:szCs w:val="24"/>
                <w:lang w:val="de-DE"/>
              </w:rPr>
              <w:t>IV</w:t>
            </w:r>
            <w:r>
              <w:rPr>
                <w:rFonts w:eastAsia="Times New Roman"/>
                <w:b/>
                <w:color w:val="auto"/>
                <w:sz w:val="24"/>
                <w:szCs w:val="24"/>
              </w:rPr>
              <w:t>. КАК ПОЛУЧИТЬ СТРАХОВУЮ ВЫПЛАТУ?</w:t>
            </w:r>
          </w:p>
        </w:tc>
      </w:tr>
      <w:tr w:rsidR="0065387D">
        <w:tc>
          <w:tcPr>
            <w:tcW w:w="10915" w:type="dxa"/>
            <w:gridSpan w:val="2"/>
          </w:tcPr>
          <w:p w:rsidR="0065387D" w:rsidRDefault="00CF259C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Страхователь/Выгодоприобретатель обязан уведомить Страховщика о произошедшем</w:t>
            </w:r>
          </w:p>
          <w:p w:rsidR="0065387D" w:rsidRDefault="00CF259C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событии не позднее 3 рабочих дней с момента наступления события по телефону горячей</w:t>
            </w:r>
          </w:p>
          <w:p w:rsidR="0065387D" w:rsidRDefault="00CF259C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линии, указанному в Договоре страхования. </w:t>
            </w:r>
          </w:p>
          <w:p w:rsidR="0065387D" w:rsidRDefault="0065387D">
            <w:pPr>
              <w:shd w:val="clear" w:color="auto" w:fill="FFFFFF"/>
              <w:tabs>
                <w:tab w:val="left" w:pos="30"/>
              </w:tabs>
              <w:spacing w:after="0" w:line="240" w:lineRule="auto"/>
              <w:ind w:left="30" w:right="0" w:firstLine="0"/>
              <w:jc w:val="left"/>
              <w:rPr>
                <w:rFonts w:ascii="TimesNewRomanPSMT" w:eastAsia="Calibri" w:hAnsi="TimesNewRomanPSMT" w:cs="TimesNewRomanPSMT"/>
                <w:iCs/>
                <w:color w:val="auto"/>
                <w:sz w:val="24"/>
                <w:szCs w:val="24"/>
                <w:lang w:eastAsia="en-US"/>
              </w:rPr>
            </w:pPr>
          </w:p>
          <w:p w:rsidR="0065387D" w:rsidRDefault="00CF259C">
            <w:pPr>
              <w:shd w:val="clear" w:color="auto" w:fill="FFFFFF"/>
              <w:tabs>
                <w:tab w:val="left" w:pos="30"/>
              </w:tabs>
              <w:spacing w:after="0" w:line="240" w:lineRule="auto"/>
              <w:ind w:left="30" w:right="0" w:firstLine="0"/>
              <w:jc w:val="left"/>
              <w:rPr>
                <w:rFonts w:eastAsia="Times New Roman"/>
                <w:b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Для получения страховой выплаты требуется представить следующие документы:</w:t>
            </w:r>
          </w:p>
          <w:p w:rsidR="0065387D" w:rsidRDefault="00CF259C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Документ, удостоверяющий личность заявителя;</w:t>
            </w:r>
          </w:p>
          <w:p w:rsidR="0065387D" w:rsidRDefault="00CF259C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Договор страхования;</w:t>
            </w:r>
          </w:p>
          <w:p w:rsidR="0065387D" w:rsidRDefault="00CF259C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Заявление о наступлении события;</w:t>
            </w:r>
          </w:p>
          <w:p w:rsidR="0065387D" w:rsidRDefault="00CF259C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Документ, подтверждающий приобретение и стоимость Имущества (договор купли-продажи, чек кассового аппарата, прочие подтверждающие стоимость документы).</w:t>
            </w:r>
          </w:p>
          <w:p w:rsidR="0065387D" w:rsidRDefault="00CF259C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 xml:space="preserve">Заявление на осуществлении страховой выплаты; </w:t>
            </w:r>
          </w:p>
          <w:p w:rsidR="0065387D" w:rsidRDefault="00CF259C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Копия документа, удостоверяющего личность Выгодоприобретателя.</w:t>
            </w:r>
          </w:p>
          <w:p w:rsidR="0065387D" w:rsidRDefault="00CF259C">
            <w:pPr>
              <w:shd w:val="clear" w:color="auto" w:fill="FFFFFF"/>
              <w:tabs>
                <w:tab w:val="left" w:pos="30"/>
              </w:tabs>
              <w:spacing w:after="0" w:line="240" w:lineRule="auto"/>
              <w:ind w:left="30" w:right="0" w:firstLine="0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iCs/>
                <w:color w:val="auto"/>
                <w:sz w:val="24"/>
                <w:szCs w:val="24"/>
              </w:rPr>
              <w:t>Дополнительно к выше в зависимости от риска необходимо представить следующие документы</w:t>
            </w:r>
            <w:r>
              <w:rPr>
                <w:rFonts w:eastAsia="Times New Roman"/>
                <w:iCs/>
                <w:color w:val="auto"/>
                <w:sz w:val="24"/>
                <w:szCs w:val="24"/>
              </w:rPr>
              <w:t>:</w:t>
            </w:r>
          </w:p>
          <w:p w:rsidR="0065387D" w:rsidRDefault="00CF259C" w:rsidP="00DB37E4">
            <w:pPr>
              <w:shd w:val="clear" w:color="auto" w:fill="FFFFFF"/>
              <w:tabs>
                <w:tab w:val="left" w:pos="30"/>
              </w:tabs>
              <w:spacing w:after="0" w:line="240" w:lineRule="auto"/>
              <w:ind w:left="30" w:right="0" w:firstLine="0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Перечень документов по рискам «Воздействие электричества», «Противоправные действия третьих лиц», «Незаконное использование сим-карты», «Случайное повреждение», «Авария систем водоснабжения, отопления, канализации, пожаротушения», «Пожар», «Удар молнии», «Взрыв бытового газа», «Стихийные бедствия» предусмотрен в Разделе </w:t>
            </w:r>
            <w:r w:rsidR="00DB37E4">
              <w:rPr>
                <w:rFonts w:eastAsia="Times New Roman"/>
                <w:color w:val="auto"/>
                <w:sz w:val="24"/>
                <w:szCs w:val="24"/>
              </w:rPr>
              <w:t>7</w:t>
            </w:r>
            <w:r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  <w:r w:rsidR="00DB37E4">
              <w:rPr>
                <w:rFonts w:eastAsia="Times New Roman"/>
                <w:color w:val="auto"/>
                <w:sz w:val="24"/>
                <w:szCs w:val="24"/>
              </w:rPr>
              <w:t>Полисных условий</w:t>
            </w:r>
            <w:r>
              <w:rPr>
                <w:rFonts w:eastAsia="Times New Roman"/>
                <w:color w:val="auto"/>
                <w:sz w:val="24"/>
                <w:szCs w:val="24"/>
              </w:rPr>
              <w:t>.</w:t>
            </w:r>
          </w:p>
          <w:p w:rsidR="0065387D" w:rsidRDefault="00CF259C" w:rsidP="00DB37E4">
            <w:pPr>
              <w:spacing w:after="0" w:line="240" w:lineRule="auto"/>
              <w:ind w:left="94" w:right="0" w:firstLin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Страховая выплата осуществляется в течение 30 рабочих дней с момента согласования Страховщиком с организацией, осуществляющей ремонт, сметы (заказ-наряда, счета и т. п.) ремонтных работ или предоставления Страхователем/Выгодоприобретателем поврежденного Имущества в организацию для проведения ремонта (с более поздней даты). В указанный срок не включается период поставки необходимых для ремонта запасных частей и материалов.</w:t>
            </w:r>
          </w:p>
        </w:tc>
      </w:tr>
      <w:tr w:rsidR="0065387D">
        <w:tc>
          <w:tcPr>
            <w:tcW w:w="10915" w:type="dxa"/>
            <w:gridSpan w:val="2"/>
          </w:tcPr>
          <w:p w:rsidR="0065387D" w:rsidRDefault="00CF259C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 xml:space="preserve">Раздел </w:t>
            </w:r>
            <w:r>
              <w:rPr>
                <w:rFonts w:eastAsia="Times New Roman"/>
                <w:b/>
                <w:color w:val="auto"/>
                <w:sz w:val="24"/>
                <w:szCs w:val="24"/>
                <w:lang w:val="de-DE"/>
              </w:rPr>
              <w:t>V</w:t>
            </w:r>
            <w:r>
              <w:rPr>
                <w:rFonts w:eastAsia="Times New Roman"/>
                <w:b/>
                <w:color w:val="auto"/>
                <w:sz w:val="24"/>
                <w:szCs w:val="24"/>
              </w:rPr>
              <w:t>. КАК ВЕРНУТЬ СТРАХОВУЮ ПРЕМИЮ?</w:t>
            </w:r>
          </w:p>
        </w:tc>
      </w:tr>
      <w:tr w:rsidR="0065387D">
        <w:trPr>
          <w:trHeight w:val="290"/>
        </w:trPr>
        <w:tc>
          <w:tcPr>
            <w:tcW w:w="6805" w:type="dxa"/>
            <w:vAlign w:val="center"/>
          </w:tcPr>
          <w:p w:rsidR="0065387D" w:rsidRDefault="00CF259C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Основания для возврата страховой премии</w:t>
            </w:r>
          </w:p>
        </w:tc>
        <w:tc>
          <w:tcPr>
            <w:tcW w:w="4110" w:type="dxa"/>
            <w:vAlign w:val="center"/>
          </w:tcPr>
          <w:p w:rsidR="0065387D" w:rsidRDefault="00CF259C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Сумма возврата страховой премии</w:t>
            </w:r>
          </w:p>
        </w:tc>
      </w:tr>
      <w:tr w:rsidR="0065387D">
        <w:tc>
          <w:tcPr>
            <w:tcW w:w="6805" w:type="dxa"/>
            <w:vAlign w:val="center"/>
          </w:tcPr>
          <w:p w:rsidR="0065387D" w:rsidRDefault="00CF259C">
            <w:pPr>
              <w:shd w:val="clear" w:color="auto" w:fill="FFFFFF"/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Отказ от договора добровольного страхования до начала срока страхования</w:t>
            </w:r>
          </w:p>
        </w:tc>
        <w:tc>
          <w:tcPr>
            <w:tcW w:w="4110" w:type="dxa"/>
            <w:vAlign w:val="center"/>
          </w:tcPr>
          <w:p w:rsidR="0065387D" w:rsidRDefault="00CF259C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100% страховой премии</w:t>
            </w:r>
          </w:p>
        </w:tc>
      </w:tr>
      <w:tr w:rsidR="0065387D">
        <w:tc>
          <w:tcPr>
            <w:tcW w:w="6805" w:type="dxa"/>
          </w:tcPr>
          <w:p w:rsidR="0065387D" w:rsidRDefault="00CF259C">
            <w:pPr>
              <w:shd w:val="clear" w:color="auto" w:fill="FFFFFF"/>
              <w:spacing w:after="0" w:line="240" w:lineRule="auto"/>
              <w:ind w:left="0" w:right="0" w:firstLine="0"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Отказ от договора добровольного страхования в течение 14 календарных дней со дня его заключения и при отсутствии в данном периоде событий, имеющих признаки страхового случая</w:t>
            </w:r>
          </w:p>
        </w:tc>
        <w:tc>
          <w:tcPr>
            <w:tcW w:w="4110" w:type="dxa"/>
            <w:vAlign w:val="center"/>
          </w:tcPr>
          <w:p w:rsidR="0065387D" w:rsidRDefault="00CF259C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100% страховой премии</w:t>
            </w:r>
          </w:p>
        </w:tc>
      </w:tr>
      <w:tr w:rsidR="0065387D">
        <w:trPr>
          <w:trHeight w:val="550"/>
        </w:trPr>
        <w:tc>
          <w:tcPr>
            <w:tcW w:w="6805" w:type="dxa"/>
          </w:tcPr>
          <w:p w:rsidR="0065387D" w:rsidRDefault="00CF259C">
            <w:pPr>
              <w:shd w:val="clear" w:color="auto" w:fill="FFFFFF"/>
              <w:spacing w:after="0" w:line="240" w:lineRule="auto"/>
              <w:ind w:left="0" w:right="0" w:firstLine="0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Отказ от договора добровольного страхования в случае ненадлежащего информирования об условиях страхования</w:t>
            </w:r>
          </w:p>
        </w:tc>
        <w:tc>
          <w:tcPr>
            <w:tcW w:w="4110" w:type="dxa"/>
            <w:vAlign w:val="center"/>
          </w:tcPr>
          <w:p w:rsidR="0065387D" w:rsidRDefault="00CF259C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100% страховой премии за вычетом части страховой премии, исчисляемой пропорционально времени, в течение которого действовало страхование</w:t>
            </w:r>
          </w:p>
        </w:tc>
      </w:tr>
      <w:tr w:rsidR="0065387D">
        <w:tc>
          <w:tcPr>
            <w:tcW w:w="10915" w:type="dxa"/>
            <w:gridSpan w:val="2"/>
          </w:tcPr>
          <w:p w:rsidR="0065387D" w:rsidRDefault="00CF259C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auto"/>
                <w:sz w:val="24"/>
                <w:szCs w:val="24"/>
              </w:rPr>
              <w:t>В иных случаях страховая премия возврату не подлежит</w:t>
            </w:r>
          </w:p>
        </w:tc>
      </w:tr>
      <w:tr w:rsidR="0065387D">
        <w:tc>
          <w:tcPr>
            <w:tcW w:w="10915" w:type="dxa"/>
            <w:gridSpan w:val="2"/>
          </w:tcPr>
          <w:p w:rsidR="0065387D" w:rsidRDefault="00CF259C">
            <w:pPr>
              <w:shd w:val="clear" w:color="auto" w:fill="FFFFFF"/>
              <w:spacing w:after="0" w:line="240" w:lineRule="auto"/>
              <w:ind w:left="0" w:right="0" w:firstLine="0"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Возврат страховой премии осуществляется в течение 7 рабочих дней со дня получения соответствующего заявления.</w:t>
            </w:r>
          </w:p>
        </w:tc>
      </w:tr>
      <w:tr w:rsidR="0065387D">
        <w:tc>
          <w:tcPr>
            <w:tcW w:w="10915" w:type="dxa"/>
            <w:gridSpan w:val="2"/>
          </w:tcPr>
          <w:p w:rsidR="0065387D" w:rsidRDefault="00CF259C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 xml:space="preserve">Раздел </w:t>
            </w:r>
            <w:r>
              <w:rPr>
                <w:rFonts w:eastAsia="Times New Roman"/>
                <w:b/>
                <w:color w:val="auto"/>
                <w:sz w:val="24"/>
                <w:szCs w:val="24"/>
                <w:lang w:val="de-DE"/>
              </w:rPr>
              <w:t>VI</w:t>
            </w:r>
            <w:r>
              <w:rPr>
                <w:rFonts w:eastAsia="Times New Roman"/>
                <w:b/>
                <w:color w:val="auto"/>
                <w:sz w:val="24"/>
                <w:szCs w:val="24"/>
              </w:rPr>
              <w:t>. КАК УРЕГУЛИРОВАТЬ СПОР ДО СУДА?</w:t>
            </w:r>
          </w:p>
        </w:tc>
      </w:tr>
      <w:tr w:rsidR="0065387D">
        <w:tc>
          <w:tcPr>
            <w:tcW w:w="10915" w:type="dxa"/>
            <w:gridSpan w:val="2"/>
          </w:tcPr>
          <w:p w:rsidR="0065387D" w:rsidRDefault="00CF259C">
            <w:pPr>
              <w:tabs>
                <w:tab w:val="left" w:pos="326"/>
              </w:tabs>
              <w:spacing w:after="0" w:line="240" w:lineRule="auto"/>
              <w:ind w:left="34" w:right="45" w:firstLine="0"/>
              <w:contextualSpacing/>
              <w:jc w:val="left"/>
              <w:rPr>
                <w:rFonts w:eastAsia="Times New Roman"/>
                <w:bCs/>
                <w:color w:val="auto"/>
                <w:sz w:val="24"/>
                <w:szCs w:val="24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</w:rPr>
              <w:t>Направить страховщику заявление (претензию) в письменной форме.</w:t>
            </w:r>
          </w:p>
          <w:p w:rsidR="0065387D" w:rsidRDefault="00CF259C">
            <w:pPr>
              <w:tabs>
                <w:tab w:val="left" w:pos="326"/>
              </w:tabs>
              <w:spacing w:after="0" w:line="240" w:lineRule="auto"/>
              <w:ind w:left="34" w:right="44" w:firstLine="0"/>
              <w:contextualSpacing/>
              <w:jc w:val="left"/>
              <w:rPr>
                <w:rFonts w:eastAsia="Times New Roman"/>
                <w:bCs/>
                <w:color w:val="auto"/>
                <w:sz w:val="24"/>
                <w:szCs w:val="24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</w:rPr>
              <w:t xml:space="preserve">Если страховщик не удовлетворил заявление (претензию), при этом размер требований не превышает 500 000 рублей, до обращения в суд необходимо обратиться к уполномоченному по правам потребителей финансовых услуг (сайт: </w:t>
            </w:r>
            <w:hyperlink r:id="rId11"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finombudsman</w:t>
              </w:r>
              <w:proofErr w:type="spellEnd"/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>
              <w:rPr>
                <w:rFonts w:eastAsia="Times New Roman"/>
                <w:bCs/>
                <w:color w:val="0000FF"/>
                <w:sz w:val="24"/>
                <w:szCs w:val="24"/>
                <w:u w:val="single"/>
              </w:rPr>
              <w:t xml:space="preserve">; </w:t>
            </w:r>
            <w:r>
              <w:rPr>
                <w:rFonts w:eastAsia="Times New Roman"/>
                <w:bCs/>
                <w:color w:val="auto"/>
                <w:sz w:val="24"/>
                <w:szCs w:val="24"/>
              </w:rPr>
              <w:t xml:space="preserve">адрес: 119017, г. Москва, </w:t>
            </w:r>
            <w:proofErr w:type="spellStart"/>
            <w:r>
              <w:rPr>
                <w:rFonts w:eastAsia="Times New Roman"/>
                <w:bCs/>
                <w:color w:val="auto"/>
                <w:sz w:val="24"/>
                <w:szCs w:val="24"/>
              </w:rPr>
              <w:t>Старомонетный</w:t>
            </w:r>
            <w:proofErr w:type="spellEnd"/>
            <w:r>
              <w:rPr>
                <w:rFonts w:eastAsia="Times New Roman"/>
                <w:bCs/>
                <w:color w:val="auto"/>
                <w:sz w:val="24"/>
                <w:szCs w:val="24"/>
              </w:rPr>
              <w:t xml:space="preserve"> пер., дом 3).</w:t>
            </w:r>
          </w:p>
          <w:p w:rsidR="0065387D" w:rsidRDefault="00CF259C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</w:rPr>
              <w:t>Рассмотрение уполномоченным по правам потребителей финансовых услуг обращения потребителя финансовых услуг осуществляется бесплатно.</w:t>
            </w:r>
          </w:p>
        </w:tc>
      </w:tr>
    </w:tbl>
    <w:p w:rsidR="0065387D" w:rsidRDefault="0065387D">
      <w:pPr>
        <w:spacing w:after="0" w:line="280" w:lineRule="auto"/>
        <w:ind w:left="0" w:right="0" w:firstLine="0"/>
        <w:rPr>
          <w:rFonts w:ascii="Arial Narrow" w:eastAsia="SimSun" w:hAnsi="Arial Narrow"/>
          <w:color w:val="auto"/>
          <w:szCs w:val="18"/>
          <w:lang w:eastAsia="zh-CN"/>
        </w:rPr>
      </w:pPr>
    </w:p>
    <w:sectPr w:rsidR="0065387D">
      <w:headerReference w:type="default" r:id="rId12"/>
      <w:pgSz w:w="12240" w:h="15840"/>
      <w:pgMar w:top="737" w:right="567" w:bottom="567" w:left="709" w:header="680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2AB7" w:rsidRDefault="00C32AB7">
      <w:pPr>
        <w:spacing w:after="0" w:line="240" w:lineRule="auto"/>
      </w:pPr>
      <w:r>
        <w:separator/>
      </w:r>
    </w:p>
  </w:endnote>
  <w:endnote w:type="continuationSeparator" w:id="0">
    <w:p w:rsidR="00C32AB7" w:rsidRDefault="00C32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 Text Cond Pro Medium"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vyaznoy RF">
    <w:charset w:val="CC"/>
    <w:family w:val="roman"/>
    <w:pitch w:val="variable"/>
  </w:font>
  <w:font w:name="PF Din Text Cond Pro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ArialNarrow">
    <w:altName w:val="Arial"/>
    <w:charset w:val="CC"/>
    <w:family w:val="roman"/>
    <w:pitch w:val="variable"/>
  </w:font>
  <w:font w:name="TimesNewRomanPS-BoldMT">
    <w:altName w:val="Cambria"/>
    <w:charset w:val="CC"/>
    <w:family w:val="roman"/>
    <w:pitch w:val="variable"/>
  </w:font>
  <w:font w:name="TimesNewRomanPSMT">
    <w:altName w:val="Cambria"/>
    <w:charset w:val="CC"/>
    <w:family w:val="roman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2AB7" w:rsidRDefault="00C32AB7">
      <w:pPr>
        <w:spacing w:after="0" w:line="240" w:lineRule="auto"/>
      </w:pPr>
      <w:r>
        <w:separator/>
      </w:r>
    </w:p>
  </w:footnote>
  <w:footnote w:type="continuationSeparator" w:id="0">
    <w:p w:rsidR="00C32AB7" w:rsidRDefault="00C32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387D" w:rsidRDefault="00CF259C">
    <w:pPr>
      <w:pStyle w:val="Footer"/>
      <w:ind w:left="0" w:firstLine="0"/>
      <w:jc w:val="center"/>
      <w:rPr>
        <w:rFonts w:ascii="Arial Narrow" w:eastAsiaTheme="minorHAnsi" w:hAnsi="Arial Narrow"/>
        <w:color w:val="auto"/>
        <w:sz w:val="24"/>
        <w:szCs w:val="24"/>
        <w:lang w:eastAsia="en-US"/>
      </w:rPr>
    </w:pPr>
    <w:r>
      <w:rPr>
        <w:rFonts w:ascii="Arial Narrow" w:eastAsiaTheme="minorHAnsi" w:hAnsi="Arial Narrow"/>
        <w:color w:val="auto"/>
        <w:sz w:val="24"/>
        <w:szCs w:val="24"/>
        <w:lang w:eastAsia="en-US"/>
      </w:rPr>
      <w:t xml:space="preserve">Ключевой информационный документ Страница </w:t>
    </w:r>
    <w:r>
      <w:rPr>
        <w:rFonts w:ascii="Arial Narrow" w:eastAsiaTheme="minorHAnsi" w:hAnsi="Arial Narrow"/>
        <w:color w:val="auto"/>
        <w:sz w:val="24"/>
        <w:szCs w:val="24"/>
        <w:lang w:eastAsia="en-US"/>
      </w:rPr>
      <w:fldChar w:fldCharType="begin"/>
    </w:r>
    <w:r>
      <w:rPr>
        <w:rFonts w:ascii="Arial Narrow" w:eastAsia="Calibri" w:hAnsi="Arial Narrow"/>
        <w:color w:val="auto"/>
        <w:sz w:val="24"/>
        <w:szCs w:val="24"/>
        <w:lang w:eastAsia="en-US"/>
      </w:rPr>
      <w:instrText xml:space="preserve"> PAGE </w:instrText>
    </w:r>
    <w:r>
      <w:rPr>
        <w:rFonts w:ascii="Arial Narrow" w:eastAsia="Calibri" w:hAnsi="Arial Narrow"/>
        <w:color w:val="auto"/>
        <w:sz w:val="24"/>
        <w:szCs w:val="24"/>
        <w:lang w:eastAsia="en-US"/>
      </w:rPr>
      <w:fldChar w:fldCharType="separate"/>
    </w:r>
    <w:r w:rsidR="00D16AF7">
      <w:rPr>
        <w:rFonts w:ascii="Arial Narrow" w:eastAsia="Calibri" w:hAnsi="Arial Narrow"/>
        <w:noProof/>
        <w:color w:val="auto"/>
        <w:sz w:val="24"/>
        <w:szCs w:val="24"/>
        <w:lang w:eastAsia="en-US"/>
      </w:rPr>
      <w:t>2</w:t>
    </w:r>
    <w:r>
      <w:rPr>
        <w:rFonts w:ascii="Arial Narrow" w:eastAsia="Calibri" w:hAnsi="Arial Narrow"/>
        <w:color w:val="auto"/>
        <w:sz w:val="24"/>
        <w:szCs w:val="24"/>
        <w:lang w:eastAsia="en-US"/>
      </w:rPr>
      <w:fldChar w:fldCharType="end"/>
    </w:r>
    <w:r>
      <w:rPr>
        <w:rFonts w:ascii="Arial Narrow" w:eastAsiaTheme="minorHAnsi" w:hAnsi="Arial Narrow"/>
        <w:color w:val="auto"/>
        <w:sz w:val="24"/>
        <w:szCs w:val="24"/>
        <w:lang w:eastAsia="en-US"/>
      </w:rPr>
      <w:t xml:space="preserve"> из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95B55"/>
    <w:multiLevelType w:val="multilevel"/>
    <w:tmpl w:val="29CCD6F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3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76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7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00" w:hanging="72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2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22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600" w:hanging="1440"/>
      </w:pPr>
    </w:lvl>
  </w:abstractNum>
  <w:abstractNum w:abstractNumId="1" w15:restartNumberingAfterBreak="0">
    <w:nsid w:val="1B8751A2"/>
    <w:multiLevelType w:val="multilevel"/>
    <w:tmpl w:val="D4D824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3C04D32"/>
    <w:multiLevelType w:val="multilevel"/>
    <w:tmpl w:val="711A7DD4"/>
    <w:lvl w:ilvl="0">
      <w:numFmt w:val="bullet"/>
      <w:lvlText w:val="•"/>
      <w:lvlJc w:val="left"/>
      <w:pPr>
        <w:tabs>
          <w:tab w:val="num" w:pos="0"/>
        </w:tabs>
        <w:ind w:left="39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4A17309"/>
    <w:multiLevelType w:val="multilevel"/>
    <w:tmpl w:val="CBFAB0B8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87D"/>
    <w:rsid w:val="002A3BFB"/>
    <w:rsid w:val="0065387D"/>
    <w:rsid w:val="00C24551"/>
    <w:rsid w:val="00C32AB7"/>
    <w:rsid w:val="00CF259C"/>
    <w:rsid w:val="00D05CBF"/>
    <w:rsid w:val="00D16AF7"/>
    <w:rsid w:val="00D42E09"/>
    <w:rsid w:val="00D90157"/>
    <w:rsid w:val="00DB37E4"/>
    <w:rsid w:val="00E1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72BBC"/>
  <w15:docId w15:val="{5DB7E4BA-36FB-429A-AA9F-04196EDB7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0BB"/>
    <w:pPr>
      <w:spacing w:after="4" w:line="247" w:lineRule="auto"/>
      <w:ind w:left="10" w:right="222" w:hanging="10"/>
      <w:jc w:val="both"/>
    </w:pPr>
    <w:rPr>
      <w:rFonts w:ascii="Arial" w:eastAsia="Arial" w:hAnsi="Arial" w:cs="Arial"/>
      <w:color w:val="000000"/>
      <w:sz w:val="1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06659E"/>
    <w:rPr>
      <w:rFonts w:ascii="Arial" w:eastAsia="Arial" w:hAnsi="Arial" w:cs="Arial"/>
      <w:color w:val="000000"/>
      <w:sz w:val="18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6659E"/>
    <w:rPr>
      <w:rFonts w:ascii="Arial" w:eastAsia="Arial" w:hAnsi="Arial" w:cs="Arial"/>
      <w:color w:val="000000"/>
      <w:sz w:val="18"/>
      <w:lang w:val="ru-RU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C47B2"/>
    <w:rPr>
      <w:rFonts w:ascii="Tahoma" w:eastAsia="Arial" w:hAnsi="Tahoma" w:cs="Tahoma"/>
      <w:color w:val="000000"/>
      <w:sz w:val="16"/>
      <w:szCs w:val="16"/>
      <w:lang w:val="ru-RU" w:eastAsia="ru-RU"/>
    </w:rPr>
  </w:style>
  <w:style w:type="character" w:styleId="CommentReference">
    <w:name w:val="annotation reference"/>
    <w:basedOn w:val="DefaultParagraphFont"/>
    <w:uiPriority w:val="99"/>
    <w:unhideWhenUsed/>
    <w:qFormat/>
    <w:rsid w:val="005C7EF4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5C7EF4"/>
    <w:rPr>
      <w:rFonts w:ascii="Arial" w:eastAsia="Arial" w:hAnsi="Arial" w:cs="Arial"/>
      <w:color w:val="000000"/>
      <w:sz w:val="20"/>
      <w:szCs w:val="20"/>
      <w:lang w:val="ru-RU" w:eastAsia="ru-R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5C7EF4"/>
    <w:rPr>
      <w:rFonts w:ascii="Arial" w:eastAsia="Arial" w:hAnsi="Arial" w:cs="Arial"/>
      <w:b/>
      <w:bCs/>
      <w:color w:val="000000"/>
      <w:sz w:val="20"/>
      <w:szCs w:val="20"/>
      <w:lang w:val="ru-RU" w:eastAsia="ru-RU"/>
    </w:rPr>
  </w:style>
  <w:style w:type="character" w:customStyle="1" w:styleId="BodyTextIndentChar">
    <w:name w:val="Body Text Indent Char"/>
    <w:basedOn w:val="DefaultParagraphFont"/>
    <w:link w:val="BodyTextIndent"/>
    <w:qFormat/>
    <w:rsid w:val="00DB423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2">
    <w:name w:val="A2"/>
    <w:uiPriority w:val="99"/>
    <w:qFormat/>
    <w:rsid w:val="00DB4239"/>
    <w:rPr>
      <w:rFonts w:ascii="PF Din Text Cond Pro Medium" w:hAnsi="PF Din Text Cond Pro Medium" w:cs="PF Din Text Cond Pro Medium"/>
      <w:color w:val="000000"/>
      <w:sz w:val="12"/>
      <w:szCs w:val="12"/>
    </w:rPr>
  </w:style>
  <w:style w:type="character" w:customStyle="1" w:styleId="BodyText2Char">
    <w:name w:val="Body Text 2 Char"/>
    <w:basedOn w:val="DefaultParagraphFont"/>
    <w:link w:val="BodyText2"/>
    <w:uiPriority w:val="99"/>
    <w:qFormat/>
    <w:rsid w:val="00DB4239"/>
    <w:rPr>
      <w:lang w:val="ru-RU"/>
    </w:rPr>
  </w:style>
  <w:style w:type="character" w:customStyle="1" w:styleId="ListParagraphChar">
    <w:name w:val="List Paragraph Char"/>
    <w:link w:val="ListParagraph"/>
    <w:uiPriority w:val="34"/>
    <w:qFormat/>
    <w:locked/>
    <w:rsid w:val="00DB4239"/>
    <w:rPr>
      <w:rFonts w:ascii="Arial" w:eastAsia="SimSun" w:hAnsi="Arial" w:cs="Arial"/>
      <w:sz w:val="20"/>
      <w:szCs w:val="20"/>
      <w:lang w:val="en-GB" w:eastAsia="zh-CN"/>
    </w:rPr>
  </w:style>
  <w:style w:type="character" w:styleId="PageNumber">
    <w:name w:val="page number"/>
    <w:basedOn w:val="DefaultParagraphFont"/>
    <w:qFormat/>
    <w:rsid w:val="007E58A0"/>
  </w:style>
  <w:style w:type="character" w:customStyle="1" w:styleId="PlainTextChar">
    <w:name w:val="Plain Text Char"/>
    <w:basedOn w:val="DefaultParagraphFont"/>
    <w:link w:val="PlainText"/>
    <w:uiPriority w:val="99"/>
    <w:qFormat/>
    <w:rsid w:val="007E58A0"/>
    <w:rPr>
      <w:rFonts w:ascii="Svyaznoy RF" w:eastAsia="Calibri" w:hAnsi="Svyaznoy RF" w:cs="Times New Roman"/>
      <w:szCs w:val="21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7E58A0"/>
    <w:rPr>
      <w:rFonts w:ascii="Arial" w:eastAsia="SimSun" w:hAnsi="Arial" w:cs="Times New Roman"/>
      <w:sz w:val="20"/>
      <w:szCs w:val="20"/>
      <w:lang w:val="en-GB" w:eastAsia="zh-CN"/>
    </w:rPr>
  </w:style>
  <w:style w:type="character" w:customStyle="1" w:styleId="a">
    <w:name w:val="Символ сноски"/>
    <w:semiHidden/>
    <w:qFormat/>
    <w:rsid w:val="007E58A0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qFormat/>
    <w:rsid w:val="007E58A0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FontStyle99">
    <w:name w:val="Font Style99"/>
    <w:basedOn w:val="DefaultParagraphFont"/>
    <w:uiPriority w:val="99"/>
    <w:qFormat/>
    <w:rsid w:val="007E58A0"/>
    <w:rPr>
      <w:rFonts w:ascii="Times New Roman" w:hAnsi="Times New Roman" w:cs="Times New Roman"/>
      <w:sz w:val="18"/>
      <w:szCs w:val="1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qFormat/>
    <w:rsid w:val="007E58A0"/>
    <w:rPr>
      <w:rFonts w:ascii="Arial" w:eastAsia="SimSun" w:hAnsi="Arial" w:cs="Arial"/>
      <w:sz w:val="16"/>
      <w:szCs w:val="16"/>
      <w:lang w:val="en-GB" w:eastAsia="zh-CN"/>
    </w:rPr>
  </w:style>
  <w:style w:type="character" w:styleId="Hyperlink">
    <w:name w:val="Hyperlink"/>
    <w:basedOn w:val="DefaultParagraphFont"/>
    <w:uiPriority w:val="99"/>
    <w:unhideWhenUsed/>
    <w:rsid w:val="007E58A0"/>
    <w:rPr>
      <w:color w:val="0563C1" w:themeColor="hyperlink"/>
      <w:u w:val="single"/>
    </w:rPr>
  </w:style>
  <w:style w:type="character" w:customStyle="1" w:styleId="A1">
    <w:name w:val="A1"/>
    <w:uiPriority w:val="99"/>
    <w:qFormat/>
    <w:rsid w:val="007E58A0"/>
    <w:rPr>
      <w:rFonts w:cs="PF Din Text Cond Pro Light"/>
      <w:color w:val="000000"/>
      <w:sz w:val="16"/>
      <w:szCs w:val="16"/>
    </w:rPr>
  </w:style>
  <w:style w:type="character" w:customStyle="1" w:styleId="A0">
    <w:name w:val="A0"/>
    <w:uiPriority w:val="99"/>
    <w:qFormat/>
    <w:rsid w:val="007E58A0"/>
    <w:rPr>
      <w:rFonts w:ascii="PF Din Text Cond Pro Medium" w:hAnsi="PF Din Text Cond Pro Medium" w:cs="PF Din Text Cond Pro Medium"/>
      <w:color w:val="000000"/>
      <w:sz w:val="30"/>
      <w:szCs w:val="30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7E58A0"/>
    <w:rPr>
      <w:rFonts w:ascii="Times New Roman" w:eastAsia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qFormat/>
    <w:rsid w:val="007E58A0"/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7E58A0"/>
    <w:pPr>
      <w:spacing w:after="120" w:line="240" w:lineRule="auto"/>
      <w:ind w:left="45" w:right="0" w:firstLine="0"/>
      <w:jc w:val="left"/>
    </w:pPr>
    <w:rPr>
      <w:rFonts w:eastAsia="SimSun" w:cs="Times New Roman"/>
      <w:color w:val="auto"/>
      <w:sz w:val="20"/>
      <w:szCs w:val="20"/>
      <w:lang w:val="en-GB" w:eastAsia="zh-CN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</w:style>
  <w:style w:type="paragraph" w:customStyle="1" w:styleId="a3">
    <w:name w:val="Колонтитул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06659E"/>
    <w:pPr>
      <w:tabs>
        <w:tab w:val="center" w:pos="4677"/>
        <w:tab w:val="right" w:pos="9355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06659E"/>
    <w:pPr>
      <w:tabs>
        <w:tab w:val="center" w:pos="4844"/>
        <w:tab w:val="right" w:pos="9689"/>
      </w:tabs>
      <w:spacing w:after="0" w:line="240" w:lineRule="auto"/>
    </w:pPr>
  </w:style>
  <w:style w:type="paragraph" w:styleId="BalloonText">
    <w:name w:val="Balloon Text"/>
    <w:basedOn w:val="Normal"/>
    <w:link w:val="BalloonTextChar"/>
    <w:semiHidden/>
    <w:unhideWhenUsed/>
    <w:qFormat/>
    <w:rsid w:val="00EC47B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5C7EF4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qFormat/>
    <w:rsid w:val="005C7EF4"/>
    <w:rPr>
      <w:b/>
      <w:bCs/>
    </w:rPr>
  </w:style>
  <w:style w:type="paragraph" w:styleId="BodyTextIndent">
    <w:name w:val="Body Text Indent"/>
    <w:basedOn w:val="Normal"/>
    <w:link w:val="BodyTextIndentChar"/>
    <w:rsid w:val="00DB4239"/>
    <w:pPr>
      <w:spacing w:after="0" w:line="240" w:lineRule="auto"/>
      <w:ind w:left="284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B4239"/>
    <w:pPr>
      <w:spacing w:after="0" w:line="240" w:lineRule="auto"/>
      <w:ind w:left="720" w:right="0" w:firstLine="0"/>
      <w:contextualSpacing/>
      <w:jc w:val="left"/>
    </w:pPr>
    <w:rPr>
      <w:rFonts w:eastAsia="SimSun"/>
      <w:color w:val="auto"/>
      <w:sz w:val="20"/>
      <w:szCs w:val="20"/>
      <w:lang w:val="en-GB" w:eastAsia="zh-CN"/>
    </w:rPr>
  </w:style>
  <w:style w:type="paragraph" w:styleId="BodyText2">
    <w:name w:val="Body Text 2"/>
    <w:basedOn w:val="Normal"/>
    <w:link w:val="BodyText2Char"/>
    <w:uiPriority w:val="99"/>
    <w:unhideWhenUsed/>
    <w:qFormat/>
    <w:rsid w:val="00DB4239"/>
    <w:pPr>
      <w:spacing w:after="120" w:line="48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Revision">
    <w:name w:val="Revision"/>
    <w:uiPriority w:val="99"/>
    <w:semiHidden/>
    <w:qFormat/>
    <w:rsid w:val="009A66D4"/>
    <w:rPr>
      <w:rFonts w:ascii="Arial" w:eastAsia="Arial" w:hAnsi="Arial" w:cs="Arial"/>
      <w:color w:val="000000"/>
      <w:sz w:val="18"/>
      <w:lang w:val="ru-RU" w:eastAsia="ru-RU"/>
    </w:rPr>
  </w:style>
  <w:style w:type="paragraph" w:customStyle="1" w:styleId="a4">
    <w:name w:val="Знак Знак Знак Знак Знак Знак Знак Знак Знак"/>
    <w:basedOn w:val="Normal"/>
    <w:qFormat/>
    <w:rsid w:val="007E58A0"/>
    <w:pPr>
      <w:spacing w:after="160" w:line="240" w:lineRule="exact"/>
      <w:ind w:left="0" w:right="0" w:firstLine="0"/>
      <w:jc w:val="left"/>
    </w:pPr>
    <w:rPr>
      <w:rFonts w:eastAsia="Times New Roman"/>
      <w:b/>
      <w:color w:val="auto"/>
      <w:sz w:val="20"/>
      <w:szCs w:val="20"/>
      <w:lang w:val="en-US" w:eastAsia="de-DE"/>
    </w:rPr>
  </w:style>
  <w:style w:type="paragraph" w:styleId="PlainText">
    <w:name w:val="Plain Text"/>
    <w:basedOn w:val="Normal"/>
    <w:link w:val="PlainTextChar"/>
    <w:uiPriority w:val="99"/>
    <w:unhideWhenUsed/>
    <w:qFormat/>
    <w:rsid w:val="007E58A0"/>
    <w:pPr>
      <w:spacing w:after="0" w:line="240" w:lineRule="auto"/>
      <w:ind w:left="0" w:right="0" w:firstLine="0"/>
      <w:jc w:val="left"/>
    </w:pPr>
    <w:rPr>
      <w:rFonts w:ascii="Svyaznoy RF" w:eastAsia="Calibri" w:hAnsi="Svyaznoy RF" w:cs="Times New Roman"/>
      <w:color w:val="auto"/>
      <w:sz w:val="22"/>
      <w:szCs w:val="21"/>
      <w:lang w:val="en-GB" w:eastAsia="en-US"/>
    </w:rPr>
  </w:style>
  <w:style w:type="paragraph" w:customStyle="1" w:styleId="-11">
    <w:name w:val="Цветная заливка - Акцент 11"/>
    <w:uiPriority w:val="99"/>
    <w:semiHidden/>
    <w:qFormat/>
    <w:rsid w:val="007E58A0"/>
    <w:rPr>
      <w:rFonts w:ascii="Arial" w:eastAsia="SimSun" w:hAnsi="Arial" w:cs="Arial"/>
      <w:sz w:val="20"/>
      <w:szCs w:val="20"/>
      <w:lang w:val="en-GB" w:eastAsia="zh-CN"/>
    </w:rPr>
  </w:style>
  <w:style w:type="paragraph" w:styleId="FootnoteText">
    <w:name w:val="footnote text"/>
    <w:basedOn w:val="Normal"/>
    <w:link w:val="FootnoteTextChar"/>
    <w:semiHidden/>
    <w:rsid w:val="007E58A0"/>
    <w:pPr>
      <w:widowControl w:val="0"/>
      <w:spacing w:after="0" w:line="254" w:lineRule="auto"/>
      <w:ind w:left="0" w:right="0" w:firstLine="70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customStyle="1" w:styleId="21">
    <w:name w:val="Основной текст 21"/>
    <w:basedOn w:val="Normal"/>
    <w:uiPriority w:val="99"/>
    <w:qFormat/>
    <w:rsid w:val="007E58A0"/>
    <w:pPr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Default">
    <w:name w:val="Default"/>
    <w:basedOn w:val="Normal"/>
    <w:qFormat/>
    <w:rsid w:val="007E58A0"/>
    <w:pPr>
      <w:spacing w:after="0" w:line="240" w:lineRule="auto"/>
      <w:ind w:left="0" w:right="0"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7E58A0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qFormat/>
    <w:rsid w:val="007E58A0"/>
    <w:pPr>
      <w:spacing w:after="120" w:line="240" w:lineRule="auto"/>
      <w:ind w:left="283" w:right="0" w:firstLine="0"/>
      <w:jc w:val="left"/>
    </w:pPr>
    <w:rPr>
      <w:rFonts w:eastAsia="SimSun"/>
      <w:color w:val="auto"/>
      <w:sz w:val="16"/>
      <w:szCs w:val="16"/>
      <w:lang w:val="en-GB" w:eastAsia="zh-CN"/>
    </w:rPr>
  </w:style>
  <w:style w:type="paragraph" w:customStyle="1" w:styleId="Level1">
    <w:name w:val="Level 1"/>
    <w:qFormat/>
    <w:rsid w:val="007E58A0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/>
      <w:ind w:firstLine="720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AU"/>
    </w:rPr>
  </w:style>
  <w:style w:type="paragraph" w:customStyle="1" w:styleId="Pa1">
    <w:name w:val="Pa1"/>
    <w:basedOn w:val="Default"/>
    <w:next w:val="Default"/>
    <w:uiPriority w:val="99"/>
    <w:qFormat/>
    <w:rsid w:val="007E58A0"/>
    <w:pPr>
      <w:spacing w:line="241" w:lineRule="atLeast"/>
    </w:pPr>
    <w:rPr>
      <w:rFonts w:ascii="PF Din Text Cond Pro Light" w:eastAsiaTheme="minorHAnsi" w:hAnsi="PF Din Text Cond Pro Light" w:cstheme="minorBidi"/>
      <w:color w:val="auto"/>
      <w:lang w:eastAsia="en-US"/>
    </w:rPr>
  </w:style>
  <w:style w:type="paragraph" w:styleId="ListBullet3">
    <w:name w:val="List Bullet 3"/>
    <w:basedOn w:val="Normal"/>
    <w:rsid w:val="007E58A0"/>
    <w:pPr>
      <w:spacing w:after="0" w:line="240" w:lineRule="auto"/>
      <w:ind w:left="566" w:right="0" w:hanging="283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aaieiaieeoaenoo">
    <w:name w:val="!Caaieiaie e oaenoo"/>
    <w:basedOn w:val="Normal"/>
    <w:next w:val="Normal"/>
    <w:qFormat/>
    <w:rsid w:val="007E58A0"/>
    <w:pPr>
      <w:spacing w:after="480" w:line="240" w:lineRule="auto"/>
      <w:ind w:left="0" w:right="5670" w:firstLine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itle">
    <w:name w:val="Title"/>
    <w:basedOn w:val="Normal"/>
    <w:link w:val="TitleChar"/>
    <w:qFormat/>
    <w:rsid w:val="007E58A0"/>
    <w:pPr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Стиль1"/>
    <w:uiPriority w:val="99"/>
    <w:qFormat/>
    <w:rsid w:val="007E58A0"/>
  </w:style>
  <w:style w:type="table" w:customStyle="1" w:styleId="TableGrid">
    <w:name w:val="TableGrid"/>
    <w:rsid w:val="0006659E"/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rsid w:val="007E58A0"/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TableNormal"/>
    <w:uiPriority w:val="39"/>
    <w:rsid w:val="004D2ADD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TableNormal"/>
    <w:uiPriority w:val="39"/>
    <w:rsid w:val="004D2ADD"/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D16AF7"/>
    <w:pPr>
      <w:widowControl w:val="0"/>
    </w:pPr>
    <w:rPr>
      <w:rFonts w:ascii="Arial" w:eastAsiaTheme="minorEastAsia" w:hAnsi="Arial" w:cs="Arial"/>
      <w:sz w:val="20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D05C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1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inombudsman.ru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renins.ru/Media/Default/doc/rules_new/139.1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7DD36-EF3A-4F92-821B-70EDCAA6C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888</Words>
  <Characters>5063</Characters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Printed>2024-04-16T08:30:00Z</cp:lastPrinted>
  <dcterms:created xsi:type="dcterms:W3CDTF">2025-03-21T10:28:00Z</dcterms:created>
  <dcterms:modified xsi:type="dcterms:W3CDTF">2025-06-17T20:19:00Z</dcterms:modified>
  <dc:language>ru-RU</dc:language>
</cp:coreProperties>
</file>