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2"/>
        <w:gridCol w:w="819"/>
        <w:gridCol w:w="3247"/>
        <w:gridCol w:w="4705"/>
      </w:tblGrid>
      <w:tr w:rsidR="00E42883">
        <w:trPr>
          <w:cantSplit/>
          <w:trHeight w:hRule="exact" w:val="588"/>
        </w:trPr>
        <w:tc>
          <w:tcPr>
            <w:tcW w:w="2451" w:type="dxa"/>
            <w:shd w:val="clear" w:color="auto" w:fill="auto"/>
          </w:tcPr>
          <w:p w:rsidR="00E42883" w:rsidRDefault="00E364A2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/>
                <w:color w:val="auto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1352550" cy="361950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right w:val="single" w:sz="2" w:space="0" w:color="000000"/>
            </w:tcBorders>
            <w:shd w:val="clear" w:color="auto" w:fill="auto"/>
          </w:tcPr>
          <w:p w:rsidR="00E42883" w:rsidRDefault="00E42883">
            <w:pPr>
              <w:widowControl w:val="0"/>
              <w:spacing w:after="0" w:line="240" w:lineRule="auto"/>
              <w:ind w:left="0" w:right="0" w:firstLine="0"/>
              <w:jc w:val="right"/>
              <w:rPr>
                <w:rFonts w:ascii="Calibri" w:eastAsia="Calibri" w:hAnsi="Calibri" w:cs="Times New Roman"/>
                <w:bCs/>
                <w:color w:val="auto"/>
                <w:sz w:val="32"/>
              </w:rPr>
            </w:pPr>
          </w:p>
        </w:tc>
        <w:tc>
          <w:tcPr>
            <w:tcW w:w="324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E42883" w:rsidRDefault="00E364A2">
            <w:pPr>
              <w:widowControl w:val="0"/>
              <w:tabs>
                <w:tab w:val="left" w:pos="340"/>
              </w:tabs>
              <w:spacing w:after="0" w:line="200" w:lineRule="exact"/>
              <w:ind w:left="170" w:right="0" w:firstLine="0"/>
              <w:jc w:val="left"/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ПАО «Группа Ренессанс Страхование»</w:t>
            </w:r>
            <w:r>
              <w:rPr>
                <w:rFonts w:ascii="Calibri" w:eastAsia="MingLiU" w:hAnsi="Calibri" w:cs="MingLiU"/>
                <w:bCs/>
                <w:color w:val="auto"/>
                <w:sz w:val="16"/>
                <w:szCs w:val="16"/>
              </w:rPr>
              <w:br/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www.renins.ru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info@renins.com</w:t>
            </w:r>
          </w:p>
        </w:tc>
        <w:tc>
          <w:tcPr>
            <w:tcW w:w="4705" w:type="dxa"/>
            <w:tcBorders>
              <w:left w:val="single" w:sz="2" w:space="0" w:color="000000"/>
            </w:tcBorders>
            <w:shd w:val="clear" w:color="auto" w:fill="auto"/>
          </w:tcPr>
          <w:p w:rsidR="00E42883" w:rsidRDefault="00E364A2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121614, г. Москва, </w:t>
            </w:r>
            <w:proofErr w:type="spellStart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>вн.тер.г</w:t>
            </w:r>
            <w:proofErr w:type="spellEnd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. муниципальный округ Крылатское, </w:t>
            </w:r>
          </w:p>
          <w:p w:rsidR="00E42883" w:rsidRDefault="00E364A2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ул. Крылатская, д. 17, к. 1</w:t>
            </w:r>
          </w:p>
          <w:p w:rsidR="00E42883" w:rsidRDefault="00E364A2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ArialNarrow" w:eastAsiaTheme="minorHAnsi" w:hAnsi="ArialNarrow" w:cs="ArialNarrow"/>
                <w:color w:val="auto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 xml:space="preserve">   Тел.: 8 495 725-10-50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Факс: 8 495 967-35-35</w:t>
            </w:r>
          </w:p>
        </w:tc>
      </w:tr>
      <w:tr w:rsidR="00E42883">
        <w:trPr>
          <w:cantSplit/>
          <w:trHeight w:val="271"/>
        </w:trPr>
        <w:tc>
          <w:tcPr>
            <w:tcW w:w="11222" w:type="dxa"/>
            <w:gridSpan w:val="4"/>
            <w:shd w:val="clear" w:color="auto" w:fill="auto"/>
          </w:tcPr>
          <w:p w:rsidR="00E42883" w:rsidRDefault="00E42883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 w:cs="Times New Roman"/>
                <w:color w:val="auto"/>
                <w:sz w:val="36"/>
              </w:rPr>
            </w:pPr>
          </w:p>
        </w:tc>
      </w:tr>
    </w:tbl>
    <w:tbl>
      <w:tblPr>
        <w:tblStyle w:val="12"/>
        <w:tblW w:w="1091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081"/>
        <w:gridCol w:w="2830"/>
      </w:tblGrid>
      <w:tr w:rsidR="00E42883">
        <w:trPr>
          <w:trHeight w:val="1425"/>
        </w:trPr>
        <w:tc>
          <w:tcPr>
            <w:tcW w:w="8080" w:type="dxa"/>
            <w:tcBorders>
              <w:top w:val="nil"/>
              <w:left w:val="nil"/>
              <w:bottom w:val="nil"/>
            </w:tcBorders>
          </w:tcPr>
          <w:p w:rsidR="00E42883" w:rsidRDefault="00E364A2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</w:pPr>
            <w:r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  <w:t>Ключевой информационный документ об условиях договора добровольного страхования бытовой техники и электроники</w:t>
            </w:r>
          </w:p>
          <w:p w:rsidR="00E42883" w:rsidRDefault="00E42883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  <w:p w:rsidR="00E42883" w:rsidRDefault="00E364A2">
            <w:pPr>
              <w:spacing w:after="0" w:line="240" w:lineRule="auto"/>
              <w:ind w:left="0" w:right="0" w:firstLine="322"/>
              <w:rPr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подготовлен на основании Полисных условий страхования бытовой техники и электроники №1, разработанных на основании Правил страхования бытовой техники и электроники №1, утверждённых Приказом генерального директора Страховщика № 170 от 26.09.2019 г. (далее – </w:t>
            </w:r>
            <w:r w:rsidR="004379B6">
              <w:rPr>
                <w:rFonts w:eastAsia="Calibri"/>
                <w:color w:val="auto"/>
                <w:sz w:val="24"/>
                <w:szCs w:val="24"/>
                <w:lang w:eastAsia="en-US"/>
              </w:rPr>
              <w:t>Полисные условия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).</w:t>
            </w:r>
            <w:r w:rsidR="00063226">
              <w:rPr>
                <w:sz w:val="24"/>
                <w:szCs w:val="24"/>
              </w:rPr>
              <w:t xml:space="preserve"> Полисные условия</w:t>
            </w:r>
            <w:r w:rsidR="00063226" w:rsidRPr="00D16AF7">
              <w:rPr>
                <w:sz w:val="24"/>
                <w:szCs w:val="24"/>
              </w:rPr>
              <w:t xml:space="preserve"> размещены на официальном сайте по ссылке:</w:t>
            </w:r>
            <w:r w:rsidR="00073291">
              <w:t xml:space="preserve"> </w:t>
            </w:r>
            <w:hyperlink r:id="rId9" w:history="1">
              <w:r w:rsidR="00073291" w:rsidRPr="00817FB4">
                <w:rPr>
                  <w:rStyle w:val="Hyperlink"/>
                  <w:sz w:val="24"/>
                  <w:szCs w:val="24"/>
                </w:rPr>
                <w:t>https://www.renins.ru/Media/Default/doc/rules_new/139.1.pdf</w:t>
              </w:r>
            </w:hyperlink>
          </w:p>
          <w:p w:rsidR="00073291" w:rsidRDefault="00073291">
            <w:pPr>
              <w:spacing w:after="0" w:line="240" w:lineRule="auto"/>
              <w:ind w:left="0" w:right="0" w:firstLine="32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30" w:type="dxa"/>
            <w:vAlign w:val="center"/>
          </w:tcPr>
          <w:p w:rsidR="00E42883" w:rsidRDefault="00B927D1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noProof/>
                <w:color w:val="auto"/>
                <w:sz w:val="20"/>
                <w:szCs w:val="20"/>
                <w:lang w:eastAsia="en-US"/>
              </w:rPr>
              <w:drawing>
                <wp:inline distT="0" distB="0" distL="0" distR="0">
                  <wp:extent cx="1417443" cy="135647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 для ПУ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43" cy="135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3"/>
        <w:tblW w:w="10916" w:type="dxa"/>
        <w:tblLayout w:type="fixed"/>
        <w:tblLook w:val="04A0" w:firstRow="1" w:lastRow="0" w:firstColumn="1" w:lastColumn="0" w:noHBand="0" w:noVBand="1"/>
      </w:tblPr>
      <w:tblGrid>
        <w:gridCol w:w="6806"/>
        <w:gridCol w:w="4110"/>
      </w:tblGrid>
      <w:tr w:rsidR="00E42883"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2883" w:rsidRDefault="00E364A2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Страховщик: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ПАО “Группа Ренессанс Страхование”,</w:t>
            </w:r>
            <w:r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E42883" w:rsidRDefault="00E364A2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121614, г. Москва,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вн.тер.г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. муниципальный округ Крылатское, ул. Крылатская, д. 17, к. 1</w:t>
            </w:r>
          </w:p>
        </w:tc>
      </w:tr>
      <w:tr w:rsidR="00E42883">
        <w:trPr>
          <w:trHeight w:val="294"/>
        </w:trPr>
        <w:tc>
          <w:tcPr>
            <w:tcW w:w="10915" w:type="dxa"/>
            <w:gridSpan w:val="2"/>
          </w:tcPr>
          <w:p w:rsidR="00E42883" w:rsidRDefault="00E364A2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Раздел I. ЧТО ЗАСТРАХОВАНО?</w:t>
            </w:r>
          </w:p>
        </w:tc>
        <w:bookmarkStart w:id="0" w:name="_GoBack"/>
        <w:bookmarkEnd w:id="0"/>
      </w:tr>
      <w:tr w:rsidR="00E42883">
        <w:trPr>
          <w:trHeight w:val="598"/>
        </w:trPr>
        <w:tc>
          <w:tcPr>
            <w:tcW w:w="10915" w:type="dxa"/>
            <w:gridSpan w:val="2"/>
          </w:tcPr>
          <w:p w:rsidR="00E42883" w:rsidRDefault="00E364A2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1. Случайное повреждение (п. 2.2.5. Полисных условий) исключительно экрана/дисплея, возникшее вследствие любых случайных внешних воздействий, при этом страхование не распространяется на иные повреждения застрахованного Имущества, не связанные с повреждением экрана/дисплея. </w:t>
            </w:r>
          </w:p>
          <w:p w:rsidR="00E42883" w:rsidRDefault="00E364A2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2. Повреждение Застрахованного имущества вследствие Воздействия электричества (п. 2.2.2 Полисных условий).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ЧТО НЕ ЗАСТРАХОВАНО?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 w:rsidP="004379B6">
            <w:pPr>
              <w:spacing w:after="0" w:line="240" w:lineRule="auto"/>
              <w:ind w:left="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Исключения из объёма страхового</w:t>
            </w:r>
            <w:r w:rsidR="004379B6">
              <w:rPr>
                <w:rFonts w:eastAsia="Times New Roman"/>
                <w:color w:val="auto"/>
                <w:sz w:val="24"/>
                <w:szCs w:val="24"/>
              </w:rPr>
              <w:t xml:space="preserve"> покрытия определяются в разделе 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3 </w:t>
            </w:r>
            <w:r w:rsidR="004379B6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. 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События, которые не застрахованы по конкретному Договору страхования и не указаны в нем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Поломка Техники, покрываемая гарантийными обязательствами производителя в период действия таких обязательств 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Любые внешние или механические воздействия на Технику, за исключением случаев, когда такие риски застрахованы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Утрата Техники в результате изъятия, конфискации, реквизиции, ареста или уничтожения по распоряжению государственных органов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Косметические повреждения (царапины, сколы и т. д.), не влияющие на основное функциональное назначение Товара и его работоспособность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Гниение, коррозия или другие естественные процессы изменения свойств застрахованного Товара, за исключением случаев, когда такие процессы являются следствием наступления застрахованных рисков, например: воздействие огня, ударов молнии, жидкости при аварии инженерных систем и т.д.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Потеря застрахованного Имущества или оставление застрахованного Имущества в ненадлежащих условиях хранения либо без присмотра, повлекшего повреждение/утрату застрахованного Имущества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 риску «Противоправные действия третьих лиц» не являются наступившими страховыми случаями события с застрахованным Имуществом, произошедшие: </w:t>
            </w:r>
          </w:p>
          <w:p w:rsidR="00E42883" w:rsidRDefault="00E364A2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Во время его нахождения в любых видах транспортных средств как устройств, предназначенных для перевозки физических лиц, грузов, багажа, ручной клади, личных вещей, животных или оборудования в значениях, определенных транспортными кодексами и уставами (ст. 1 ФЗ «О транспортной безопасности» № 16-ФЗ). </w:t>
            </w:r>
          </w:p>
          <w:p w:rsidR="00E42883" w:rsidRDefault="00E364A2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 неустановленном месте или в неустановленное время с точностью до двух часов.</w:t>
            </w:r>
          </w:p>
          <w:p w:rsidR="00E42883" w:rsidRDefault="00E364A2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Иные события, не являющиеся страховым случаем, перечисленные в Разделе 3 </w:t>
            </w:r>
            <w:r w:rsidR="004379B6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NewRomanPS-BoldMT" w:eastAsia="Calibri" w:hAnsi="TimesNewRomanPS-BoldMT" w:cs="TimesNewRomanPS-BoldMT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Раздел III. ТЕРРИТОРИЯ СТРАХОВАНИЯ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Страхование действует на территории: Весь мир.</w:t>
            </w:r>
          </w:p>
        </w:tc>
      </w:tr>
      <w:tr w:rsidR="00E42883">
        <w:trPr>
          <w:trHeight w:val="237"/>
        </w:trPr>
        <w:tc>
          <w:tcPr>
            <w:tcW w:w="10915" w:type="dxa"/>
            <w:gridSpan w:val="2"/>
          </w:tcPr>
          <w:p w:rsidR="00E42883" w:rsidRDefault="00E364A2">
            <w:pPr>
              <w:tabs>
                <w:tab w:val="left" w:pos="30"/>
              </w:tabs>
              <w:spacing w:after="0" w:line="276" w:lineRule="auto"/>
              <w:ind w:left="30" w:right="0" w:firstLine="0"/>
              <w:contextualSpacing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ПОЛУЧИТЬ СТРАХОВУЮ ВЫПЛАТУ?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Страхователь/Выгодоприобретатель обязан уведомить Страховщика о произошедшем</w:t>
            </w:r>
          </w:p>
          <w:p w:rsidR="00E42883" w:rsidRDefault="00E364A2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событии не позднее 3 рабочих дней с момента наступления события по телефону горячей</w:t>
            </w:r>
          </w:p>
          <w:p w:rsidR="00E42883" w:rsidRDefault="00E364A2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линии, указанному в Договоре страхования. </w:t>
            </w:r>
          </w:p>
          <w:p w:rsidR="00E42883" w:rsidRDefault="00E42883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jc w:val="left"/>
              <w:rPr>
                <w:rFonts w:ascii="TimesNewRomanPSMT" w:eastAsia="Calibri" w:hAnsi="TimesNewRomanPSMT" w:cs="TimesNewRomanPSMT"/>
                <w:iCs/>
                <w:color w:val="auto"/>
                <w:sz w:val="24"/>
                <w:szCs w:val="24"/>
                <w:lang w:eastAsia="en-US"/>
              </w:rPr>
            </w:pPr>
          </w:p>
          <w:p w:rsidR="00E42883" w:rsidRDefault="00E364A2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jc w:val="left"/>
              <w:rPr>
                <w:rFonts w:eastAsia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Для получения страховой выплаты требуется представить следующие документы:</w:t>
            </w:r>
          </w:p>
          <w:p w:rsidR="00E42883" w:rsidRDefault="00E364A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удостоверяющий личность заявителя;</w:t>
            </w:r>
          </w:p>
          <w:p w:rsidR="00E42883" w:rsidRDefault="00E364A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Договор страхования;</w:t>
            </w:r>
          </w:p>
          <w:p w:rsidR="00E42883" w:rsidRDefault="00E364A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Заявление о наступлении события;</w:t>
            </w:r>
          </w:p>
          <w:p w:rsidR="00E42883" w:rsidRDefault="00E364A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подтверждающий приобретение и стоимость Имущества (договор купли-продажи, чек кассового аппарата, прочие подтверждающие стоимость документы).</w:t>
            </w:r>
          </w:p>
          <w:p w:rsidR="00E42883" w:rsidRDefault="00E364A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 xml:space="preserve">Заявление на осуществлении страховой выплаты; </w:t>
            </w:r>
          </w:p>
          <w:p w:rsidR="00E42883" w:rsidRDefault="00E364A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Копия документа, удостоверяющего личность Выгодоприобретателя.</w:t>
            </w:r>
          </w:p>
          <w:p w:rsidR="00E42883" w:rsidRDefault="00E364A2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color w:val="auto"/>
                <w:sz w:val="24"/>
                <w:szCs w:val="24"/>
              </w:rPr>
              <w:t>Дополнительно к выше в зависимости от риска необходимо представить следующие документы</w:t>
            </w:r>
            <w:r>
              <w:rPr>
                <w:rFonts w:eastAsia="Times New Roman"/>
                <w:iCs/>
                <w:color w:val="auto"/>
                <w:sz w:val="24"/>
                <w:szCs w:val="24"/>
              </w:rPr>
              <w:t>:</w:t>
            </w:r>
          </w:p>
          <w:p w:rsidR="00E42883" w:rsidRDefault="00E364A2" w:rsidP="004379B6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Перечень документов по рискам «Воздействие электричества», «Противоправные действия третьих лиц», «Незаконное использование сим-карты», «Случайное повреждение», «Авария систем водоснабжения, отопления, канализации, пожаротушения», «Пожар», «Удар молнии», «Взрыв бытового газа», «Стихийные бедствия» предусмотрен в Разделе </w:t>
            </w:r>
            <w:r w:rsidR="004379B6">
              <w:rPr>
                <w:rFonts w:eastAsia="Times New Roman"/>
                <w:color w:val="auto"/>
                <w:sz w:val="24"/>
                <w:szCs w:val="24"/>
              </w:rPr>
              <w:t>7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 w:rsidR="004379B6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  <w:p w:rsidR="00E42883" w:rsidRDefault="00E364A2" w:rsidP="004379B6">
            <w:pPr>
              <w:spacing w:after="0" w:line="240" w:lineRule="auto"/>
              <w:ind w:left="94" w:righ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Страховая выплата осуществляется в течение 30 рабочих дней с момента согласования Страховщиком с организацией, осуществляющей ремонт, сметы (заказ-наряда, счета и т. п.) ремонтных работ или предоставления Страхователем/Выгодоприобретателем поврежденного Имущества в организацию для проведения ремонта (с более поздней даты). В указанный срок не включается период поставки необходимых для ремонта запасных частей и материалов.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ВЕРНУТЬ СТРАХОВУЮ ПРЕМИЮ?</w:t>
            </w:r>
          </w:p>
        </w:tc>
      </w:tr>
      <w:tr w:rsidR="00E42883">
        <w:trPr>
          <w:trHeight w:val="290"/>
        </w:trPr>
        <w:tc>
          <w:tcPr>
            <w:tcW w:w="6805" w:type="dxa"/>
            <w:vAlign w:val="center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Основания для возврата страховой премии</w:t>
            </w:r>
          </w:p>
        </w:tc>
        <w:tc>
          <w:tcPr>
            <w:tcW w:w="4110" w:type="dxa"/>
            <w:vAlign w:val="center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Сумма возврата страховой премии</w:t>
            </w:r>
          </w:p>
        </w:tc>
      </w:tr>
      <w:tr w:rsidR="00E42883">
        <w:tc>
          <w:tcPr>
            <w:tcW w:w="6805" w:type="dxa"/>
            <w:vAlign w:val="center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до начала срока страхования</w:t>
            </w:r>
          </w:p>
        </w:tc>
        <w:tc>
          <w:tcPr>
            <w:tcW w:w="4110" w:type="dxa"/>
            <w:vAlign w:val="center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E42883">
        <w:tc>
          <w:tcPr>
            <w:tcW w:w="6805" w:type="dxa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течение 14 календарных дней со дня его заключения и при отсутствии в данном периоде событий, имеющих признаки страхового случая</w:t>
            </w:r>
          </w:p>
        </w:tc>
        <w:tc>
          <w:tcPr>
            <w:tcW w:w="4110" w:type="dxa"/>
            <w:vAlign w:val="center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E42883">
        <w:trPr>
          <w:trHeight w:val="550"/>
        </w:trPr>
        <w:tc>
          <w:tcPr>
            <w:tcW w:w="6805" w:type="dxa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4110" w:type="dxa"/>
            <w:vAlign w:val="center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auto"/>
                <w:sz w:val="24"/>
                <w:szCs w:val="24"/>
              </w:rPr>
              <w:t>В иных случаях страховая премия возврату не подлежит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Возврат страховой премии осуществляется в течение 7 рабочих дней со дня получения соответствующего заявления.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УРЕГУЛИРОВАТЬ СПОР ДО СУДА?</w:t>
            </w:r>
          </w:p>
        </w:tc>
      </w:tr>
      <w:tr w:rsidR="00E42883">
        <w:tc>
          <w:tcPr>
            <w:tcW w:w="10915" w:type="dxa"/>
            <w:gridSpan w:val="2"/>
          </w:tcPr>
          <w:p w:rsidR="00E42883" w:rsidRDefault="00E364A2">
            <w:pPr>
              <w:tabs>
                <w:tab w:val="left" w:pos="326"/>
              </w:tabs>
              <w:spacing w:after="0" w:line="240" w:lineRule="auto"/>
              <w:ind w:left="34" w:right="45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:rsidR="00E42883" w:rsidRDefault="00E364A2">
            <w:pPr>
              <w:tabs>
                <w:tab w:val="left" w:pos="326"/>
              </w:tabs>
              <w:spacing w:after="0" w:line="240" w:lineRule="auto"/>
              <w:ind w:left="34" w:right="44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Если страховщик не удовлетворил заявление (претензию), при этом размер требований не превышает 500 000 рублей, до обращения в суд необходимо обратиться к уполномоченному по правам потребителей финансовых услуг (сайт: </w:t>
            </w:r>
            <w:hyperlink r:id="rId11"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finombudsman</w:t>
              </w:r>
              <w:proofErr w:type="spellEnd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>
              <w:rPr>
                <w:rFonts w:eastAsia="Times New Roman"/>
                <w:bCs/>
                <w:color w:val="0000FF"/>
                <w:sz w:val="24"/>
                <w:szCs w:val="24"/>
                <w:u w:val="single"/>
              </w:rPr>
              <w:t xml:space="preserve">; </w:t>
            </w: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адрес: 119017, г. Москва, </w:t>
            </w:r>
            <w:proofErr w:type="spellStart"/>
            <w:r>
              <w:rPr>
                <w:rFonts w:eastAsia="Times New Roman"/>
                <w:bCs/>
                <w:color w:val="auto"/>
                <w:sz w:val="24"/>
                <w:szCs w:val="24"/>
              </w:rPr>
              <w:t>Старомонетный</w:t>
            </w:r>
            <w:proofErr w:type="spellEnd"/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 пер., дом 3).</w:t>
            </w:r>
          </w:p>
          <w:p w:rsidR="00E42883" w:rsidRDefault="00E364A2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lastRenderedPageBreak/>
              <w:t>Рассмотрение уполномоченным по правам потребителей финансовых услуг обращения потребителя финансовых услуг осуществляется бесплатно.</w:t>
            </w:r>
          </w:p>
        </w:tc>
      </w:tr>
    </w:tbl>
    <w:p w:rsidR="00E42883" w:rsidRDefault="00E42883">
      <w:pPr>
        <w:spacing w:after="0" w:line="280" w:lineRule="auto"/>
        <w:ind w:left="0" w:right="0" w:firstLine="0"/>
        <w:rPr>
          <w:rFonts w:ascii="Arial Narrow" w:eastAsia="SimSun" w:hAnsi="Arial Narrow"/>
          <w:color w:val="auto"/>
          <w:szCs w:val="18"/>
          <w:lang w:eastAsia="zh-CN"/>
        </w:rPr>
      </w:pPr>
    </w:p>
    <w:sectPr w:rsidR="00E42883">
      <w:headerReference w:type="default" r:id="rId12"/>
      <w:pgSz w:w="12240" w:h="15840"/>
      <w:pgMar w:top="737" w:right="567" w:bottom="567" w:left="709" w:header="68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0CE" w:rsidRDefault="00F150CE">
      <w:pPr>
        <w:spacing w:after="0" w:line="240" w:lineRule="auto"/>
      </w:pPr>
      <w:r>
        <w:separator/>
      </w:r>
    </w:p>
  </w:endnote>
  <w:endnote w:type="continuationSeparator" w:id="0">
    <w:p w:rsidR="00F150CE" w:rsidRDefault="00F15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vyaznoy RF">
    <w:charset w:val="CC"/>
    <w:family w:val="roman"/>
    <w:pitch w:val="variable"/>
  </w:font>
  <w:font w:name="PF Din Text Cond Pro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Narrow">
    <w:altName w:val="Arial"/>
    <w:charset w:val="CC"/>
    <w:family w:val="roman"/>
    <w:pitch w:val="variable"/>
  </w:font>
  <w:font w:name="TimesNewRomanPS-BoldMT">
    <w:altName w:val="Cambria"/>
    <w:charset w:val="CC"/>
    <w:family w:val="roman"/>
    <w:pitch w:val="variable"/>
  </w:font>
  <w:font w:name="TimesNewRomanPSMT">
    <w:altName w:val="Cambria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0CE" w:rsidRDefault="00F150CE">
      <w:pPr>
        <w:spacing w:after="0" w:line="240" w:lineRule="auto"/>
      </w:pPr>
      <w:r>
        <w:separator/>
      </w:r>
    </w:p>
  </w:footnote>
  <w:footnote w:type="continuationSeparator" w:id="0">
    <w:p w:rsidR="00F150CE" w:rsidRDefault="00F15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2883" w:rsidRDefault="00E364A2">
    <w:pPr>
      <w:pStyle w:val="Footer"/>
      <w:ind w:left="0" w:firstLine="0"/>
      <w:jc w:val="center"/>
      <w:rPr>
        <w:rFonts w:ascii="Arial Narrow" w:eastAsiaTheme="minorHAnsi" w:hAnsi="Arial Narrow"/>
        <w:color w:val="auto"/>
        <w:sz w:val="24"/>
        <w:szCs w:val="24"/>
        <w:lang w:eastAsia="en-US"/>
      </w:rPr>
    </w:pP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Ключевой информационный документ Страница </w:t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fldChar w:fldCharType="begin"/>
    </w:r>
    <w:r>
      <w:rPr>
        <w:rFonts w:ascii="Arial Narrow" w:eastAsia="Calibri" w:hAnsi="Arial Narrow"/>
        <w:color w:val="auto"/>
        <w:sz w:val="24"/>
        <w:szCs w:val="24"/>
        <w:lang w:eastAsia="en-US"/>
      </w:rPr>
      <w:instrText xml:space="preserve"> PAGE </w:instrTex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separate"/>
    </w:r>
    <w:r w:rsidR="00A877C5">
      <w:rPr>
        <w:rFonts w:ascii="Arial Narrow" w:eastAsia="Calibri" w:hAnsi="Arial Narrow"/>
        <w:noProof/>
        <w:color w:val="auto"/>
        <w:sz w:val="24"/>
        <w:szCs w:val="24"/>
        <w:lang w:eastAsia="en-US"/>
      </w:rPr>
      <w:t>2</w: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end"/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 из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9386C"/>
    <w:multiLevelType w:val="multilevel"/>
    <w:tmpl w:val="A7D89A1C"/>
    <w:lvl w:ilvl="0">
      <w:numFmt w:val="bullet"/>
      <w:lvlText w:val="•"/>
      <w:lvlJc w:val="left"/>
      <w:pPr>
        <w:tabs>
          <w:tab w:val="num" w:pos="0"/>
        </w:tabs>
        <w:ind w:left="39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4C2E2F"/>
    <w:multiLevelType w:val="multilevel"/>
    <w:tmpl w:val="FBA819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77745BA"/>
    <w:multiLevelType w:val="multilevel"/>
    <w:tmpl w:val="45202EA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3" w15:restartNumberingAfterBreak="0">
    <w:nsid w:val="7C4B23C2"/>
    <w:multiLevelType w:val="multilevel"/>
    <w:tmpl w:val="EB1AC3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3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7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22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60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883"/>
    <w:rsid w:val="00063226"/>
    <w:rsid w:val="00073291"/>
    <w:rsid w:val="004379B6"/>
    <w:rsid w:val="00540D07"/>
    <w:rsid w:val="008628CB"/>
    <w:rsid w:val="00992B92"/>
    <w:rsid w:val="00A877C5"/>
    <w:rsid w:val="00B927D1"/>
    <w:rsid w:val="00E364A2"/>
    <w:rsid w:val="00E42883"/>
    <w:rsid w:val="00F1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36AB"/>
  <w15:docId w15:val="{B3970941-C8B7-41DE-9CDE-5809F902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0BB"/>
    <w:pPr>
      <w:spacing w:after="4" w:line="247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CommentReference">
    <w:name w:val="annotation reference"/>
    <w:basedOn w:val="DefaultParagraphFont"/>
    <w:uiPriority w:val="99"/>
    <w:unhideWhenUsed/>
    <w:qFormat/>
    <w:rsid w:val="005C7E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qFormat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2">
    <w:name w:val="A2"/>
    <w:uiPriority w:val="99"/>
    <w:qFormat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character" w:customStyle="1" w:styleId="BodyText2Char">
    <w:name w:val="Body Text 2 Char"/>
    <w:basedOn w:val="DefaultParagraphFont"/>
    <w:link w:val="BodyText2"/>
    <w:uiPriority w:val="99"/>
    <w:qFormat/>
    <w:rsid w:val="00DB4239"/>
    <w:rPr>
      <w:lang w:val="ru-RU"/>
    </w:rPr>
  </w:style>
  <w:style w:type="character" w:customStyle="1" w:styleId="ListParagraphChar">
    <w:name w:val="List Paragraph Char"/>
    <w:link w:val="ListParagraph"/>
    <w:uiPriority w:val="34"/>
    <w:qFormat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character" w:styleId="PageNumber">
    <w:name w:val="page number"/>
    <w:basedOn w:val="DefaultParagraphFont"/>
    <w:qFormat/>
    <w:rsid w:val="007E58A0"/>
  </w:style>
  <w:style w:type="character" w:customStyle="1" w:styleId="PlainTextChar">
    <w:name w:val="Plain Text Char"/>
    <w:basedOn w:val="DefaultParagraphFont"/>
    <w:link w:val="PlainText"/>
    <w:uiPriority w:val="99"/>
    <w:qFormat/>
    <w:rsid w:val="007E58A0"/>
    <w:rPr>
      <w:rFonts w:ascii="Svyaznoy RF" w:eastAsia="Calibri" w:hAnsi="Svyaznoy RF" w:cs="Times New Roman"/>
      <w:szCs w:val="21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customStyle="1" w:styleId="a">
    <w:name w:val="Символ сноски"/>
    <w:semiHidden/>
    <w:qFormat/>
    <w:rsid w:val="007E58A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FontStyle99">
    <w:name w:val="Font Style99"/>
    <w:basedOn w:val="DefaultParagraphFont"/>
    <w:uiPriority w:val="99"/>
    <w:qFormat/>
    <w:rsid w:val="007E58A0"/>
    <w:rPr>
      <w:rFonts w:ascii="Times New Roman" w:hAnsi="Times New Roman" w:cs="Times New Roman"/>
      <w:sz w:val="18"/>
      <w:szCs w:val="1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sid w:val="007E58A0"/>
    <w:rPr>
      <w:rFonts w:ascii="Arial" w:eastAsia="SimSun" w:hAnsi="Arial" w:cs="Arial"/>
      <w:sz w:val="16"/>
      <w:szCs w:val="16"/>
      <w:lang w:val="en-GB" w:eastAsia="zh-CN"/>
    </w:rPr>
  </w:style>
  <w:style w:type="character" w:styleId="Hyperlink">
    <w:name w:val="Hyperlink"/>
    <w:basedOn w:val="DefaultParagraphFont"/>
    <w:uiPriority w:val="99"/>
    <w:unhideWhenUsed/>
    <w:rsid w:val="007E58A0"/>
    <w:rPr>
      <w:color w:val="0563C1" w:themeColor="hyperlink"/>
      <w:u w:val="single"/>
    </w:rPr>
  </w:style>
  <w:style w:type="character" w:customStyle="1" w:styleId="A1">
    <w:name w:val="A1"/>
    <w:uiPriority w:val="99"/>
    <w:qFormat/>
    <w:rsid w:val="007E58A0"/>
    <w:rPr>
      <w:rFonts w:cs="PF Din Text Cond Pro Light"/>
      <w:color w:val="000000"/>
      <w:sz w:val="16"/>
      <w:szCs w:val="16"/>
    </w:rPr>
  </w:style>
  <w:style w:type="character" w:customStyle="1" w:styleId="A0">
    <w:name w:val="A0"/>
    <w:uiPriority w:val="99"/>
    <w:qFormat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qFormat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</w:style>
  <w:style w:type="paragraph" w:customStyle="1" w:styleId="a3">
    <w:name w:val="Колонтитул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paragraph" w:styleId="BalloonText">
    <w:name w:val="Balloon Text"/>
    <w:basedOn w:val="Normal"/>
    <w:link w:val="BalloonTextChar"/>
    <w:semiHidden/>
    <w:unhideWhenUsed/>
    <w:qFormat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C7EF4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sid w:val="005C7EF4"/>
    <w:rPr>
      <w:b/>
      <w:bCs/>
    </w:rPr>
  </w:style>
  <w:style w:type="paragraph" w:styleId="BodyTextIndent">
    <w:name w:val="Body Text Indent"/>
    <w:basedOn w:val="Normal"/>
    <w:link w:val="BodyTextIndentChar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paragraph" w:styleId="BodyText2">
    <w:name w:val="Body Text 2"/>
    <w:basedOn w:val="Normal"/>
    <w:link w:val="BodyText2Char"/>
    <w:uiPriority w:val="99"/>
    <w:unhideWhenUsed/>
    <w:qFormat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Revision">
    <w:name w:val="Revision"/>
    <w:uiPriority w:val="99"/>
    <w:semiHidden/>
    <w:qFormat/>
    <w:rsid w:val="009A66D4"/>
    <w:rPr>
      <w:rFonts w:ascii="Arial" w:eastAsia="Arial" w:hAnsi="Arial" w:cs="Arial"/>
      <w:color w:val="000000"/>
      <w:sz w:val="18"/>
      <w:lang w:val="ru-RU" w:eastAsia="ru-RU"/>
    </w:rPr>
  </w:style>
  <w:style w:type="paragraph" w:customStyle="1" w:styleId="a4">
    <w:name w:val="Знак Знак Знак Знак Знак Знак Знак Знак Знак"/>
    <w:basedOn w:val="Normal"/>
    <w:qFormat/>
    <w:rsid w:val="007E58A0"/>
    <w:pPr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PlainText">
    <w:name w:val="Plain Text"/>
    <w:basedOn w:val="Normal"/>
    <w:link w:val="PlainTextChar"/>
    <w:uiPriority w:val="99"/>
    <w:unhideWhenUsed/>
    <w:qFormat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paragraph" w:customStyle="1" w:styleId="-11">
    <w:name w:val="Цветная заливка - Акцент 11"/>
    <w:uiPriority w:val="99"/>
    <w:semiHidden/>
    <w:qFormat/>
    <w:rsid w:val="007E58A0"/>
    <w:rPr>
      <w:rFonts w:ascii="Arial" w:eastAsia="SimSun" w:hAnsi="Arial" w:cs="Arial"/>
      <w:sz w:val="20"/>
      <w:szCs w:val="20"/>
      <w:lang w:val="en-GB" w:eastAsia="zh-CN"/>
    </w:rPr>
  </w:style>
  <w:style w:type="paragraph" w:styleId="FootnoteText">
    <w:name w:val="footnote text"/>
    <w:basedOn w:val="Normal"/>
    <w:link w:val="FootnoteTextChar"/>
    <w:semiHidden/>
    <w:rsid w:val="007E58A0"/>
    <w:pPr>
      <w:widowControl w:val="0"/>
      <w:spacing w:after="0" w:line="254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21">
    <w:name w:val="Основной текст 21"/>
    <w:basedOn w:val="Normal"/>
    <w:uiPriority w:val="99"/>
    <w:qFormat/>
    <w:rsid w:val="007E58A0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Normal"/>
    <w:qFormat/>
    <w:rsid w:val="007E58A0"/>
    <w:pPr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paragraph" w:customStyle="1" w:styleId="Level1">
    <w:name w:val="Level 1"/>
    <w:qFormat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/>
      <w:ind w:firstLine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AU"/>
    </w:rPr>
  </w:style>
  <w:style w:type="paragraph" w:customStyle="1" w:styleId="Pa1">
    <w:name w:val="Pa1"/>
    <w:basedOn w:val="Default"/>
    <w:next w:val="Default"/>
    <w:uiPriority w:val="99"/>
    <w:qFormat/>
    <w:rsid w:val="007E58A0"/>
    <w:pPr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paragraph" w:styleId="ListBullet3">
    <w:name w:val="List Bullet 3"/>
    <w:basedOn w:val="Normal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Normal"/>
    <w:next w:val="Normal"/>
    <w:qFormat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Стиль1"/>
    <w:uiPriority w:val="99"/>
    <w:qFormat/>
    <w:rsid w:val="007E58A0"/>
  </w:style>
  <w:style w:type="table" w:customStyle="1" w:styleId="TableGrid">
    <w:name w:val="TableGrid"/>
    <w:rsid w:val="0006659E"/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7E58A0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TableNormal"/>
    <w:uiPriority w:val="39"/>
    <w:rsid w:val="004D2ADD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TableNormal"/>
    <w:uiPriority w:val="39"/>
    <w:rsid w:val="004D2ADD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73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nombudsman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renins.ru/Media/Default/doc/rules_new/139.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8E139-12CD-420A-9D5D-03773F2BA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916</Words>
  <Characters>5224</Characters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Printed>2024-04-16T08:30:00Z</cp:lastPrinted>
  <dcterms:created xsi:type="dcterms:W3CDTF">2025-03-21T10:48:00Z</dcterms:created>
  <dcterms:modified xsi:type="dcterms:W3CDTF">2025-06-17T20:18:00Z</dcterms:modified>
  <dc:language>ru-RU</dc:language>
</cp:coreProperties>
</file>