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072" w:type="dxa"/>
        <w:jc w:val="left"/>
        <w:tblInd w:w="-113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2457"/>
        <w:gridCol w:w="62"/>
        <w:gridCol w:w="3010"/>
        <w:gridCol w:w="3542"/>
      </w:tblGrid>
      <w:tr>
        <w:trPr>
          <w:trHeight w:val="939" w:hRule="exact"/>
          <w:cantSplit w:val="true"/>
        </w:trPr>
        <w:tc>
          <w:tcPr>
            <w:tcW w:w="2457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rPr>
                <w:rFonts w:ascii="Calibri" w:hAnsi="Calibri" w:eastAsia="Calibri" w:cs="Arial"/>
                <w:sz w:val="18"/>
                <w:szCs w:val="18"/>
              </w:rPr>
            </w:pPr>
            <w:r>
              <w:rPr/>
              <w:drawing>
                <wp:inline distT="0" distB="0" distL="0" distR="0">
                  <wp:extent cx="1353185" cy="358140"/>
                  <wp:effectExtent l="0" t="0" r="0" b="0"/>
                  <wp:docPr id="1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185" cy="358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" w:type="dxa"/>
            <w:tcBorders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jc w:val="right"/>
              <w:rPr>
                <w:rFonts w:ascii="Calibri" w:hAnsi="Calibri"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</w:r>
          </w:p>
        </w:tc>
        <w:tc>
          <w:tcPr>
            <w:tcW w:w="3010" w:type="dxa"/>
            <w:tcBorders>
              <w:left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340" w:leader="none"/>
              </w:tabs>
              <w:spacing w:lineRule="auto" w:line="240" w:before="0" w:after="160"/>
              <w:ind w:left="170" w:hanging="0"/>
              <w:rPr>
                <w:rFonts w:ascii="Times New Roman" w:hAnsi="Times New Roman" w:eastAsia="Calibri" w:cs="Times New Roman"/>
                <w:bCs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Cs/>
                <w:sz w:val="16"/>
                <w:szCs w:val="16"/>
              </w:rPr>
              <w:t>ПАО «Группа Ренессанс Страхование»</w:t>
            </w:r>
            <w:r>
              <w:rPr>
                <w:rFonts w:eastAsia="MingLiU" w:cs="Times New Roman" w:ascii="Times New Roman" w:hAnsi="Times New Roman"/>
                <w:bCs/>
                <w:sz w:val="16"/>
                <w:szCs w:val="16"/>
              </w:rPr>
              <w:br/>
            </w:r>
            <w:r>
              <w:rPr>
                <w:rFonts w:eastAsia="Calibri" w:cs="Times New Roman" w:ascii="Times New Roman" w:hAnsi="Times New Roman"/>
                <w:bCs/>
                <w:sz w:val="16"/>
                <w:szCs w:val="16"/>
              </w:rPr>
              <w:t>www.renins.</w:t>
            </w:r>
            <w:r>
              <w:rPr>
                <w:rFonts w:eastAsia="Calibri" w:cs="Times New Roman" w:ascii="Times New Roman" w:hAnsi="Times New Roman"/>
                <w:bCs/>
                <w:sz w:val="16"/>
                <w:szCs w:val="16"/>
                <w:lang w:val="en-US"/>
              </w:rPr>
              <w:t>ru</w:t>
            </w:r>
            <w:r>
              <w:rPr>
                <w:rFonts w:eastAsia="Calibri" w:cs="Times New Roman" w:ascii="Times New Roman" w:hAnsi="Times New Roman"/>
                <w:bCs/>
                <w:sz w:val="16"/>
                <w:szCs w:val="16"/>
              </w:rPr>
              <w:br/>
              <w:t>info@renins.ru</w:t>
            </w:r>
          </w:p>
        </w:tc>
        <w:tc>
          <w:tcPr>
            <w:tcW w:w="3542" w:type="dxa"/>
            <w:tcBorders>
              <w:lef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340" w:leader="none"/>
              </w:tabs>
              <w:spacing w:lineRule="auto" w:line="240" w:before="0" w:after="160"/>
              <w:ind w:left="170" w:hanging="0"/>
              <w:rPr>
                <w:rFonts w:ascii="Times New Roman" w:hAnsi="Times New Roman" w:eastAsia="Calibri" w:cs="Times New Roman"/>
                <w:bCs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Cs/>
                <w:sz w:val="16"/>
                <w:szCs w:val="16"/>
              </w:rPr>
              <w:t>121614, г. Москва, вн.тер.г. муниципальный округ Крылатское, ул. Крылатская, д. 17, корп. 1</w:t>
            </w:r>
          </w:p>
        </w:tc>
      </w:tr>
    </w:tbl>
    <w:p>
      <w:pPr>
        <w:pStyle w:val="ConsPlusNormal"/>
        <w:ind w:left="-993" w:hanging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tbl>
      <w:tblPr>
        <w:tblStyle w:val="ae"/>
        <w:tblpPr w:vertAnchor="text" w:horzAnchor="page" w:leftFromText="180" w:rightFromText="180" w:tblpX="8731" w:tblpY="97"/>
        <w:tblW w:w="231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16"/>
      </w:tblGrid>
      <w:tr>
        <w:trPr>
          <w:trHeight w:val="1908" w:hRule="atLeast"/>
        </w:trPr>
        <w:tc>
          <w:tcPr>
            <w:tcW w:w="2316" w:type="dxa"/>
            <w:tcBorders/>
          </w:tcPr>
          <w:p>
            <w:pPr>
              <w:pStyle w:val="ConsPlusNormal"/>
              <w:widowControl w:val="false"/>
              <w:spacing w:before="0" w:after="0"/>
              <w:ind w:left="-120" w:right="0"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kern w:val="0"/>
                <w:lang w:val="ru-RU" w:bidi="ar-SA"/>
              </w:rPr>
              <w:drawing>
                <wp:inline distT="0" distB="0" distL="0" distR="0">
                  <wp:extent cx="1400175" cy="1400175"/>
                  <wp:effectExtent l="0" t="0" r="0" b="0"/>
                  <wp:docPr id="2" name="Рисунок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ConsPlusNormal"/>
        <w:ind w:left="1560" w:hanging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>Ключевой информационный документ</w:t>
      </w:r>
    </w:p>
    <w:p>
      <w:pPr>
        <w:pStyle w:val="ConsPlusNormal"/>
        <w:ind w:left="1560" w:hanging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>об условиях договора добровольного страхования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>имущества и ответственности физических лиц</w:t>
      </w:r>
    </w:p>
    <w:p>
      <w:pPr>
        <w:pStyle w:val="ConsPlusNormal"/>
        <w:ind w:left="1560" w:hanging="0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ConsPlusNormal"/>
        <w:ind w:left="-99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Подготовлен на основании Правил комбинированного страхования имущества, дополнительных расходов и гражданской ответственности № 1.3, утвержденных приказом Генерального директора № 168 от 24.09.2019 г. (далее Правила) включая Дополнительные условия № 1 </w:t>
      </w:r>
      <w:r>
        <w:rPr>
          <w:rFonts w:eastAsia="Calibri" w:cs="Times New Roman" w:ascii="Times New Roman" w:hAnsi="Times New Roman" w:eastAsiaTheme="minorHAnsi"/>
          <w:sz w:val="18"/>
          <w:szCs w:val="18"/>
          <w:lang w:eastAsia="en-US"/>
        </w:rPr>
        <w:t>по страхованию гражданской ответственности.</w:t>
      </w:r>
    </w:p>
    <w:p>
      <w:pPr>
        <w:pStyle w:val="ConsPlusNormal"/>
        <w:ind w:left="-993" w:hanging="0"/>
        <w:jc w:val="both"/>
        <w:rPr>
          <w:rStyle w:val="-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Правила размещены на официальном сайте по ссылке: </w:t>
      </w:r>
      <w:hyperlink r:id="rId4">
        <w:r>
          <w:rPr>
            <w:rStyle w:val="-"/>
            <w:sz w:val="18"/>
            <w:szCs w:val="18"/>
          </w:rPr>
          <w:t>https://www.renins.ru/KID?pravila-1_3</w:t>
        </w:r>
      </w:hyperlink>
    </w:p>
    <w:p>
      <w:pPr>
        <w:pStyle w:val="ConsPlusNormal"/>
        <w:ind w:left="-993" w:hanging="0"/>
        <w:jc w:val="both"/>
        <w:rPr>
          <w:rStyle w:val="-"/>
          <w:rFonts w:ascii="Times New Roman" w:hAnsi="Times New Roman" w:cs="Times New Roman"/>
          <w:b/>
          <w:color w:val="auto"/>
          <w:sz w:val="18"/>
          <w:szCs w:val="18"/>
          <w:u w:val="none"/>
        </w:rPr>
      </w:pPr>
      <w:r>
        <w:rPr>
          <w:rFonts w:cs="Times New Roman" w:ascii="Times New Roman" w:hAnsi="Times New Roman"/>
          <w:b/>
          <w:color w:val="auto"/>
          <w:sz w:val="18"/>
          <w:szCs w:val="18"/>
          <w:u w:val="none"/>
        </w:rPr>
      </w:r>
    </w:p>
    <w:p>
      <w:pPr>
        <w:pStyle w:val="ConsPlusNormal"/>
        <w:ind w:left="-99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 xml:space="preserve">Страховщик: </w:t>
      </w:r>
      <w:r>
        <w:rPr>
          <w:rFonts w:cs="Times New Roman" w:ascii="Times New Roman" w:hAnsi="Times New Roman"/>
          <w:sz w:val="18"/>
          <w:szCs w:val="18"/>
        </w:rPr>
        <w:t>Публичное акционерное общество «Группа Ренессанс Страхование» (ПАО «Группа Ренессанс Страхование»), адрес: 121614, г. Москва, вн.тер.г. муниципальный округ Крылатское, ул. Крылатская, д. 17, корп. 1</w:t>
      </w:r>
    </w:p>
    <w:p>
      <w:pPr>
        <w:pStyle w:val="ConsPlusNormal"/>
        <w:ind w:left="-993" w:hanging="0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tbl>
      <w:tblPr>
        <w:tblW w:w="10349" w:type="dxa"/>
        <w:jc w:val="left"/>
        <w:tblInd w:w="-9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4962"/>
        <w:gridCol w:w="5240"/>
        <w:gridCol w:w="146"/>
      </w:tblGrid>
      <w:tr>
        <w:trPr>
          <w:trHeight w:val="13" w:hRule="atLeast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Раздел I. ЧТО ЗАСТРАХОВАНО?</w:t>
            </w:r>
          </w:p>
        </w:tc>
      </w:tr>
      <w:tr>
        <w:trPr>
          <w:trHeight w:val="1297" w:hRule="atLeast"/>
        </w:trPr>
        <w:tc>
          <w:tcPr>
            <w:tcW w:w="10348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14" w:leader="none"/>
              </w:tabs>
              <w:spacing w:lineRule="auto" w:line="240" w:before="0" w:after="0"/>
              <w:ind w:left="72" w:hanging="4"/>
              <w:contextualSpacing/>
              <w:jc w:val="both"/>
              <w:rPr>
                <w:rFonts w:ascii="Times New Roman" w:hAnsi="Times New Roman" w:eastAsia="" w:eastAsiaTheme="minorEastAsia"/>
                <w:sz w:val="18"/>
                <w:szCs w:val="18"/>
                <w:lang w:eastAsia="ru-RU"/>
              </w:rPr>
            </w:pPr>
            <w:r>
              <w:rPr>
                <w:rFonts w:eastAsia="" w:ascii="Times New Roman" w:hAnsi="Times New Roman" w:eastAsiaTheme="minorEastAsia"/>
                <w:sz w:val="18"/>
                <w:szCs w:val="18"/>
                <w:lang w:eastAsia="ru-RU"/>
              </w:rPr>
              <w:t>Пожар в результате короткого замыкания в части домов, удар молнии, взрыв (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в соответствии с </w:t>
            </w:r>
            <w:r>
              <w:rPr>
                <w:rFonts w:eastAsia="" w:ascii="Times New Roman" w:hAnsi="Times New Roman" w:eastAsiaTheme="minorEastAsia"/>
                <w:sz w:val="18"/>
                <w:szCs w:val="18"/>
                <w:lang w:eastAsia="ru-RU"/>
              </w:rPr>
              <w:t>п. 4.2.1 Правил).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14" w:leader="none"/>
              </w:tabs>
              <w:spacing w:lineRule="auto" w:line="240" w:before="0" w:after="0"/>
              <w:ind w:left="72" w:hanging="4"/>
              <w:contextualSpacing/>
              <w:jc w:val="both"/>
              <w:rPr>
                <w:rFonts w:ascii="Times New Roman" w:hAnsi="Times New Roman" w:eastAsia="" w:eastAsiaTheme="minorEastAsia"/>
                <w:sz w:val="18"/>
                <w:szCs w:val="18"/>
                <w:lang w:eastAsia="ru-RU"/>
              </w:rPr>
            </w:pPr>
            <w:r>
              <w:rPr>
                <w:rFonts w:eastAsia="" w:ascii="Times New Roman" w:hAnsi="Times New Roman" w:eastAsiaTheme="minorEastAsia"/>
                <w:sz w:val="18"/>
                <w:szCs w:val="18"/>
                <w:lang w:eastAsia="ru-RU"/>
              </w:rPr>
              <w:t>Воздействие жидкости (в соответствии с п. 4.2.2 Правил) в следствии разрыва труб или иной аварии систем водоснабжения, канализации, отопления, пожарного водопровода и кондиционирования (включая стационарно соединенные с вышеуказанными системами аппараты и приборы, такие как краны, вентили, баки, ванны, радиаторы), а также срыва (разрыва) труб, соединяющих стиральные (посудомоечные) машины с системами водоснабжения и канализации в помещениях, принадлежащих Страхователю или Выгодоприобретателю, за исключением аварии, возникшей в результате воздействия низких температур, согласно п. 3.8. Особых условий страхования имущества и гражданской ответственности физических лиц.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14" w:leader="none"/>
              </w:tabs>
              <w:spacing w:lineRule="auto" w:line="240" w:before="0" w:after="0"/>
              <w:ind w:left="72" w:hanging="4"/>
              <w:contextualSpacing/>
              <w:jc w:val="both"/>
              <w:rPr>
                <w:rFonts w:ascii="Times New Roman" w:hAnsi="Times New Roman" w:eastAsia="" w:eastAsiaTheme="minorEastAsia"/>
                <w:sz w:val="18"/>
                <w:szCs w:val="18"/>
                <w:lang w:eastAsia="ru-RU"/>
              </w:rPr>
            </w:pPr>
            <w:r>
              <w:rPr>
                <w:rFonts w:eastAsia="" w:ascii="Times New Roman" w:hAnsi="Times New Roman" w:eastAsiaTheme="minorEastAsia"/>
                <w:sz w:val="18"/>
                <w:szCs w:val="18"/>
                <w:lang w:eastAsia="ru-RU"/>
              </w:rPr>
              <w:t>Стихийные бедствия (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в соответствии с </w:t>
            </w:r>
            <w:r>
              <w:rPr>
                <w:rFonts w:eastAsia="" w:ascii="Times New Roman" w:hAnsi="Times New Roman" w:eastAsiaTheme="minorEastAsia"/>
                <w:sz w:val="18"/>
                <w:szCs w:val="18"/>
                <w:lang w:eastAsia="ru-RU"/>
              </w:rPr>
              <w:t>п. 4.2.3. Правил).</w:t>
            </w:r>
          </w:p>
          <w:p>
            <w:pPr>
              <w:pStyle w:val="ConsPlus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14" w:leader="none"/>
              </w:tabs>
              <w:ind w:left="72" w:hanging="4"/>
              <w:jc w:val="both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Противоправные действия третьих лиц (в соответствии п. 4.2.4.1. Правил).</w:t>
            </w:r>
          </w:p>
          <w:p>
            <w:pPr>
              <w:pStyle w:val="ConsPlus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14" w:leader="none"/>
              </w:tabs>
              <w:ind w:left="72" w:hanging="4"/>
              <w:jc w:val="both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Внешнее воздействие (в соответствии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п. 4.2.5. Правил).</w:t>
            </w:r>
          </w:p>
          <w:p>
            <w:pPr>
              <w:pStyle w:val="ConsPlus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14" w:leader="none"/>
              </w:tabs>
              <w:ind w:left="72" w:hanging="4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Террористический акт (в соответствии с п.4.2.6. Правил).</w:t>
            </w:r>
          </w:p>
          <w:p>
            <w:pPr>
              <w:pStyle w:val="ConsPlus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14" w:leader="none"/>
              </w:tabs>
              <w:ind w:left="72" w:hanging="4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Гражданская ответственность (в соответствии c п.3. Дополнительных условий №1 к Правилам).</w:t>
            </w:r>
          </w:p>
        </w:tc>
      </w:tr>
      <w:tr>
        <w:trPr/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Раздел II. ЧТО НЕ ЗАСТРАХОВАНО?</w:t>
            </w:r>
          </w:p>
        </w:tc>
      </w:tr>
      <w:tr>
        <w:trPr/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" w:eastAsiaTheme="minorEastAsia"/>
                <w:b/>
                <w:sz w:val="18"/>
                <w:szCs w:val="18"/>
                <w:u w:val="single"/>
                <w:lang w:eastAsia="ru-RU"/>
              </w:rPr>
            </w:pPr>
            <w:r>
              <w:rPr>
                <w:rFonts w:eastAsia="" w:ascii="Times New Roman" w:hAnsi="Times New Roman" w:eastAsiaTheme="minorEastAsia"/>
                <w:b/>
                <w:sz w:val="18"/>
                <w:szCs w:val="18"/>
                <w:u w:val="single"/>
                <w:lang w:eastAsia="ru-RU"/>
              </w:rPr>
              <w:t>Пожар: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eastAsia="" w:cs="Times New Roman" w:ascii="Times New Roman" w:hAnsi="Times New Roman" w:eastAsiaTheme="minorEastAsia"/>
                <w:sz w:val="18"/>
                <w:szCs w:val="18"/>
                <w:lang w:eastAsia="ru-RU"/>
              </w:rPr>
              <w:t>Пожар, за исключением пожара в результате короткого замыкания, в части домов.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" w:eastAsiaTheme="minorEastAsia"/>
                <w:sz w:val="18"/>
                <w:szCs w:val="18"/>
                <w:u w:val="single"/>
                <w:lang w:eastAsia="ru-RU"/>
              </w:rPr>
            </w:pPr>
            <w:r>
              <w:rPr>
                <w:rFonts w:eastAsia="" w:ascii="Times New Roman" w:hAnsi="Times New Roman" w:eastAsiaTheme="minorEastAsia"/>
                <w:b/>
                <w:sz w:val="18"/>
                <w:szCs w:val="18"/>
                <w:u w:val="single"/>
                <w:lang w:eastAsia="ru-RU"/>
              </w:rPr>
              <w:t>Взрыв</w:t>
            </w:r>
            <w:r>
              <w:rPr>
                <w:rFonts w:eastAsia="" w:ascii="Times New Roman" w:hAnsi="Times New Roman" w:eastAsiaTheme="minorEastAsia"/>
                <w:sz w:val="18"/>
                <w:szCs w:val="18"/>
                <w:u w:val="single"/>
                <w:lang w:eastAsia="ru-RU"/>
              </w:rPr>
              <w:t xml:space="preserve"> </w:t>
            </w:r>
            <w:r>
              <w:rPr>
                <w:rFonts w:eastAsia="" w:ascii="Times New Roman" w:hAnsi="Times New Roman" w:eastAsiaTheme="minorEastAsia"/>
                <w:b/>
                <w:sz w:val="18"/>
                <w:szCs w:val="18"/>
                <w:u w:val="single"/>
                <w:lang w:eastAsia="ru-RU"/>
              </w:rPr>
              <w:t>в результате</w:t>
            </w:r>
            <w:r>
              <w:rPr>
                <w:rFonts w:eastAsia="" w:ascii="Times New Roman" w:hAnsi="Times New Roman" w:eastAsiaTheme="minorEastAsia"/>
                <w:sz w:val="18"/>
                <w:szCs w:val="18"/>
                <w:u w:val="single"/>
                <w:lang w:eastAsia="ru-RU"/>
              </w:rPr>
              <w:t>: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21" w:leader="none"/>
              </w:tabs>
              <w:spacing w:lineRule="auto" w:line="240" w:before="0" w:after="0"/>
              <w:ind w:left="79" w:firstLine="3"/>
              <w:contextualSpacing/>
              <w:jc w:val="both"/>
              <w:rPr>
                <w:rFonts w:ascii="Times New Roman" w:hAnsi="Times New Roman" w:eastAsia="" w:eastAsiaTheme="minorEastAsia"/>
                <w:sz w:val="18"/>
                <w:szCs w:val="18"/>
                <w:lang w:eastAsia="ru-RU"/>
              </w:rPr>
            </w:pPr>
            <w:r>
              <w:rPr>
                <w:rFonts w:eastAsia="" w:ascii="Times New Roman" w:hAnsi="Times New Roman" w:eastAsiaTheme="minorEastAsia"/>
                <w:sz w:val="18"/>
                <w:szCs w:val="18"/>
                <w:lang w:eastAsia="ru-RU"/>
              </w:rPr>
              <w:t xml:space="preserve">направленного воздействия на застрахованное имущество огня или тепла в соответствии со следующими процессами: сушкой, варкой, глажением, копчением, жаркой, плавлением, обжигом, термической обработкой и т. п. Данное исключение относится только к имуществу, подвергаемому этим процессам; 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21" w:leader="none"/>
              </w:tabs>
              <w:spacing w:lineRule="auto" w:line="240" w:before="0" w:after="0"/>
              <w:ind w:left="79" w:firstLine="3"/>
              <w:contextualSpacing/>
              <w:jc w:val="both"/>
              <w:rPr>
                <w:rFonts w:ascii="Times New Roman" w:hAnsi="Times New Roman" w:eastAsia="" w:eastAsiaTheme="minorEastAsia"/>
                <w:sz w:val="18"/>
                <w:szCs w:val="18"/>
                <w:lang w:eastAsia="ru-RU"/>
              </w:rPr>
            </w:pPr>
            <w:r>
              <w:rPr>
                <w:rFonts w:eastAsia="" w:ascii="Times New Roman" w:hAnsi="Times New Roman" w:eastAsiaTheme="minorEastAsia"/>
                <w:sz w:val="18"/>
                <w:szCs w:val="18"/>
                <w:lang w:eastAsia="ru-RU"/>
              </w:rPr>
              <w:t xml:space="preserve">взрывных работ, проходящих на территории страхования; 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21" w:leader="none"/>
              </w:tabs>
              <w:spacing w:lineRule="auto" w:line="240" w:before="0" w:after="0"/>
              <w:ind w:left="79" w:firstLine="3"/>
              <w:contextualSpacing/>
              <w:jc w:val="both"/>
              <w:rPr>
                <w:rFonts w:ascii="Times New Roman" w:hAnsi="Times New Roman" w:eastAsia="" w:eastAsiaTheme="minorEastAsia"/>
                <w:sz w:val="18"/>
                <w:szCs w:val="18"/>
                <w:lang w:eastAsia="ru-RU"/>
              </w:rPr>
            </w:pPr>
            <w:r>
              <w:rPr>
                <w:rFonts w:eastAsia="" w:ascii="Times New Roman" w:hAnsi="Times New Roman" w:eastAsiaTheme="minorEastAsia"/>
                <w:sz w:val="18"/>
                <w:szCs w:val="18"/>
                <w:lang w:eastAsia="ru-RU"/>
              </w:rPr>
              <w:t xml:space="preserve">взрывов, происходящих в камерах сгорания данного имущества; 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21" w:leader="none"/>
                <w:tab w:val="left" w:pos="567" w:leader="none"/>
              </w:tabs>
              <w:snapToGrid w:val="false"/>
              <w:spacing w:lineRule="auto" w:line="240" w:before="0" w:after="0"/>
              <w:ind w:left="79" w:firstLine="3"/>
              <w:contextualSpacing/>
              <w:jc w:val="both"/>
              <w:rPr>
                <w:rFonts w:ascii="Times New Roman" w:hAnsi="Times New Roman" w:eastAsia="" w:eastAsiaTheme="minorEastAsia"/>
                <w:sz w:val="18"/>
                <w:szCs w:val="18"/>
                <w:lang w:eastAsia="ru-RU"/>
              </w:rPr>
            </w:pPr>
            <w:r>
              <w:rPr>
                <w:rFonts w:eastAsia="" w:ascii="Times New Roman" w:hAnsi="Times New Roman" w:eastAsiaTheme="minorEastAsia"/>
                <w:sz w:val="18"/>
                <w:szCs w:val="18"/>
                <w:lang w:eastAsia="ru-RU"/>
              </w:rPr>
              <w:t>взрыва боеприпасов и (или) взрывчатых веществ, если это имущество хранилось на территории страхования не в соответствии с действующим законодательством Российской Федерации об обороте оружия.</w:t>
            </w:r>
          </w:p>
        </w:tc>
      </w:tr>
      <w:tr>
        <w:trPr>
          <w:trHeight w:val="616" w:hRule="atLeast"/>
        </w:trPr>
        <w:tc>
          <w:tcPr>
            <w:tcW w:w="10348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" w:eastAsiaTheme="minorEastAsia"/>
                <w:b/>
                <w:sz w:val="18"/>
                <w:szCs w:val="18"/>
                <w:u w:val="single"/>
                <w:lang w:eastAsia="ru-RU"/>
              </w:rPr>
            </w:pPr>
            <w:r>
              <w:rPr>
                <w:rFonts w:eastAsia="" w:ascii="Times New Roman" w:hAnsi="Times New Roman" w:eastAsiaTheme="minorEastAsia"/>
                <w:b/>
                <w:sz w:val="18"/>
                <w:szCs w:val="18"/>
                <w:u w:val="single"/>
                <w:lang w:eastAsia="ru-RU"/>
              </w:rPr>
              <w:t xml:space="preserve">Воздействие жидкости, в результате 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221" w:leader="none"/>
              </w:tabs>
              <w:spacing w:lineRule="auto" w:line="240" w:before="0" w:after="0"/>
              <w:ind w:left="79" w:firstLine="3"/>
              <w:contextualSpacing/>
              <w:jc w:val="both"/>
              <w:rPr>
                <w:rFonts w:ascii="Times New Roman" w:hAnsi="Times New Roman" w:eastAsia="" w:eastAsiaTheme="minorEastAsia"/>
                <w:sz w:val="18"/>
                <w:szCs w:val="18"/>
                <w:lang w:eastAsia="ru-RU"/>
              </w:rPr>
            </w:pPr>
            <w:r>
              <w:rPr>
                <w:rFonts w:eastAsia="" w:ascii="Times New Roman" w:hAnsi="Times New Roman" w:eastAsiaTheme="minorEastAsia"/>
                <w:sz w:val="18"/>
                <w:szCs w:val="18"/>
                <w:lang w:eastAsia="ru-RU"/>
              </w:rPr>
              <w:t xml:space="preserve">случайного срабатывания расположенных на территории страхования противопожарных систем; 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221" w:leader="none"/>
              </w:tabs>
              <w:spacing w:lineRule="auto" w:line="240" w:before="0" w:after="0"/>
              <w:ind w:left="79" w:firstLine="3"/>
              <w:contextualSpacing/>
              <w:jc w:val="both"/>
              <w:rPr>
                <w:rFonts w:ascii="Times New Roman" w:hAnsi="Times New Roman" w:eastAsia="" w:eastAsiaTheme="minorEastAsia"/>
                <w:sz w:val="18"/>
                <w:szCs w:val="18"/>
                <w:lang w:eastAsia="ru-RU"/>
              </w:rPr>
            </w:pPr>
            <w:r>
              <w:rPr>
                <w:rFonts w:eastAsia="" w:ascii="Times New Roman" w:hAnsi="Times New Roman" w:eastAsiaTheme="minorEastAsia"/>
                <w:sz w:val="18"/>
                <w:szCs w:val="18"/>
                <w:lang w:eastAsia="ru-RU"/>
              </w:rPr>
              <w:t xml:space="preserve">проникновения жидкости из соседних помещений, включая чердачное, не принадлежащих Страхователю/Выгодоприобретателю; 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221" w:leader="none"/>
                <w:tab w:val="left" w:pos="567" w:leader="none"/>
              </w:tabs>
              <w:snapToGrid w:val="false"/>
              <w:spacing w:lineRule="auto" w:line="240" w:before="0" w:after="0"/>
              <w:ind w:left="79" w:firstLine="3"/>
              <w:contextualSpacing/>
              <w:jc w:val="both"/>
              <w:rPr>
                <w:rFonts w:ascii="Times New Roman" w:hAnsi="Times New Roman" w:eastAsia="" w:eastAsiaTheme="minorEastAsia"/>
                <w:sz w:val="18"/>
                <w:szCs w:val="18"/>
                <w:lang w:eastAsia="ru-RU"/>
              </w:rPr>
            </w:pPr>
            <w:bookmarkStart w:id="0" w:name="_GoBack"/>
            <w:bookmarkEnd w:id="0"/>
            <w:r>
              <w:rPr>
                <w:rFonts w:eastAsia="" w:ascii="Times New Roman" w:hAnsi="Times New Roman" w:eastAsiaTheme="minorEastAsia"/>
                <w:sz w:val="18"/>
                <w:szCs w:val="18"/>
                <w:lang w:eastAsia="ru-RU"/>
              </w:rPr>
              <w:t>разрыва труб, оборудования и систем водоснабжения в результате замерзания и (или) оттаивания жидкости, произошедших из-за отключения электроэнергии более чем на 24 часа в населенном пункте или в отдельном районе населенного пункта по месту нахождения застрахованного строения или помещения.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snapToGrid w:val="false"/>
              <w:spacing w:lineRule="auto" w:line="240" w:before="0" w:after="0"/>
              <w:ind w:left="79" w:hanging="0"/>
              <w:jc w:val="both"/>
              <w:rPr>
                <w:rFonts w:ascii="Times New Roman" w:hAnsi="Times New Roman" w:eastAsia="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Полный перечень исключений указан в пункте 4.2.2.2.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Правил.</w:t>
            </w:r>
          </w:p>
          <w:p>
            <w:pPr>
              <w:pStyle w:val="Normal"/>
              <w:widowControl w:val="false"/>
              <w:spacing w:lineRule="auto" w:line="240" w:before="0" w:after="0"/>
              <w:ind w:left="79" w:hanging="0"/>
              <w:jc w:val="both"/>
              <w:rPr>
                <w:rFonts w:ascii="Times New Roman" w:hAnsi="Times New Roman" w:eastAsia="" w:cs="Times New Roman" w:eastAsiaTheme="minorEastAsia"/>
                <w:sz w:val="18"/>
                <w:szCs w:val="18"/>
                <w:u w:val="single"/>
                <w:lang w:eastAsia="ru-RU"/>
              </w:rPr>
            </w:pPr>
            <w:r>
              <w:rPr>
                <w:rFonts w:eastAsia="" w:ascii="Times New Roman" w:hAnsi="Times New Roman" w:eastAsiaTheme="minorEastAsia"/>
                <w:b/>
                <w:sz w:val="18"/>
                <w:szCs w:val="18"/>
                <w:u w:val="single"/>
                <w:lang w:eastAsia="ru-RU"/>
              </w:rPr>
              <w:t>Противоправные действия третьих лиц в результате</w:t>
            </w:r>
            <w:r>
              <w:rPr>
                <w:rFonts w:eastAsia="" w:cs="Times New Roman" w:ascii="Times New Roman" w:hAnsi="Times New Roman" w:eastAsiaTheme="minorEastAsia"/>
                <w:sz w:val="18"/>
                <w:szCs w:val="18"/>
                <w:u w:val="single"/>
                <w:lang w:eastAsia="ru-RU"/>
              </w:rPr>
              <w:t>: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221" w:leader="none"/>
              </w:tabs>
              <w:spacing w:lineRule="auto" w:line="240" w:before="0" w:after="0"/>
              <w:ind w:left="79" w:hanging="0"/>
              <w:contextualSpacing/>
              <w:jc w:val="both"/>
              <w:rPr>
                <w:rFonts w:ascii="Times New Roman" w:hAnsi="Times New Roman" w:eastAsia="" w:eastAsiaTheme="minorEastAsia"/>
                <w:sz w:val="18"/>
                <w:szCs w:val="18"/>
                <w:lang w:eastAsia="ru-RU"/>
              </w:rPr>
            </w:pPr>
            <w:r>
              <w:rPr>
                <w:rFonts w:eastAsia="" w:ascii="Times New Roman" w:hAnsi="Times New Roman" w:eastAsiaTheme="minorEastAsia"/>
                <w:sz w:val="18"/>
                <w:szCs w:val="18"/>
                <w:lang w:eastAsia="ru-RU"/>
              </w:rPr>
              <w:t xml:space="preserve">хищения в форме кражи; 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221" w:leader="none"/>
              </w:tabs>
              <w:spacing w:lineRule="auto" w:line="240" w:before="0" w:after="0"/>
              <w:ind w:left="79" w:hanging="0"/>
              <w:contextualSpacing/>
              <w:jc w:val="both"/>
              <w:rPr>
                <w:rFonts w:ascii="Times New Roman" w:hAnsi="Times New Roman" w:eastAsia="" w:eastAsiaTheme="minorEastAsia"/>
                <w:sz w:val="18"/>
                <w:szCs w:val="18"/>
                <w:lang w:eastAsia="ru-RU"/>
              </w:rPr>
            </w:pPr>
            <w:r>
              <w:rPr>
                <w:rFonts w:eastAsia="" w:ascii="Times New Roman" w:hAnsi="Times New Roman" w:eastAsiaTheme="minorEastAsia"/>
                <w:sz w:val="18"/>
                <w:szCs w:val="18"/>
                <w:lang w:eastAsia="ru-RU"/>
              </w:rPr>
              <w:t xml:space="preserve">кражи имущества, находящегося вне периметров закрытых помещений, но в пределах территории страхования, то есть кража имущества на застрахованных участках и (или) с внешней стороны застрахованных зданий.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1" w:leader="none"/>
                <w:tab w:val="left" w:pos="567" w:leader="none"/>
              </w:tabs>
              <w:snapToGrid w:val="false"/>
              <w:spacing w:lineRule="auto" w:line="240" w:before="0" w:after="0"/>
              <w:ind w:left="79" w:hanging="0"/>
              <w:jc w:val="both"/>
              <w:rPr>
                <w:rFonts w:ascii="Times New Roman" w:hAnsi="Times New Roman" w:eastAsia="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Полный перечень исключений указан в пункте 4.2.4.11.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Правил.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1" w:leader="none"/>
              </w:tabs>
              <w:spacing w:lineRule="auto" w:line="240" w:before="0" w:after="0"/>
              <w:ind w:left="79" w:hanging="0"/>
              <w:jc w:val="both"/>
              <w:rPr>
                <w:rFonts w:ascii="Times New Roman" w:hAnsi="Times New Roman" w:eastAsia="" w:cs="Times New Roman" w:eastAsiaTheme="minorEastAsia"/>
                <w:sz w:val="18"/>
                <w:szCs w:val="18"/>
                <w:u w:val="single"/>
                <w:lang w:eastAsia="ru-RU"/>
              </w:rPr>
            </w:pPr>
            <w:r>
              <w:rPr>
                <w:rFonts w:eastAsia="" w:ascii="Times New Roman" w:hAnsi="Times New Roman" w:eastAsiaTheme="minorEastAsia"/>
                <w:b/>
                <w:sz w:val="18"/>
                <w:szCs w:val="18"/>
                <w:u w:val="single"/>
                <w:lang w:eastAsia="ru-RU"/>
              </w:rPr>
              <w:t>Стихийные бедствия</w:t>
            </w:r>
            <w:r>
              <w:rPr>
                <w:rFonts w:eastAsia="" w:cs="Times New Roman" w:ascii="Times New Roman" w:hAnsi="Times New Roman" w:eastAsiaTheme="minorEastAsia"/>
                <w:sz w:val="18"/>
                <w:szCs w:val="18"/>
                <w:u w:val="single"/>
                <w:lang w:eastAsia="ru-RU"/>
              </w:rPr>
              <w:t>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1" w:leader="none"/>
                <w:tab w:val="left" w:pos="567" w:leader="none"/>
              </w:tabs>
              <w:snapToGrid w:val="false"/>
              <w:spacing w:lineRule="auto" w:line="240" w:before="0" w:after="0"/>
              <w:ind w:left="79" w:hanging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Полный перечень исключений указан в пункте 4.2.3.3.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Правил.</w:t>
            </w:r>
          </w:p>
          <w:p>
            <w:pPr>
              <w:pStyle w:val="ConsPlus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21" w:leader="none"/>
              </w:tabs>
              <w:ind w:left="79" w:hanging="0"/>
              <w:outlineLvl w:val="1"/>
              <w:rPr>
                <w:rFonts w:ascii="Times New Roman" w:hAnsi="Times New Roman" w:cs="" w:cstheme="minorBidi"/>
                <w:b/>
                <w:sz w:val="18"/>
                <w:szCs w:val="18"/>
                <w:u w:val="single"/>
              </w:rPr>
            </w:pPr>
            <w:r>
              <w:rPr>
                <w:rFonts w:cs="" w:ascii="Times New Roman" w:hAnsi="Times New Roman" w:cstheme="minorBidi"/>
                <w:b/>
                <w:sz w:val="18"/>
                <w:szCs w:val="18"/>
                <w:u w:val="single"/>
              </w:rPr>
              <w:t xml:space="preserve">Внешнее воздействие </w:t>
            </w:r>
          </w:p>
          <w:p>
            <w:pPr>
              <w:pStyle w:val="ConsPlusNormal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21" w:leader="none"/>
              </w:tabs>
              <w:ind w:left="79" w:hanging="0"/>
              <w:jc w:val="both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Не является страховым случаем причинение застрахованному имуществу ущерба в форме его повреждения или уничтожения в результате воздействия транспортных средств, животных или летательных аппаратов, принадлежащих Страхователю/Выгодоприобретателю либо членам его семьи или работающим у него лицам, а также находящихся у указанных лиц во временном пользовании.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1" w:leader="none"/>
              </w:tabs>
              <w:spacing w:lineRule="auto" w:line="240" w:before="0" w:after="0"/>
              <w:ind w:left="79" w:hanging="0"/>
              <w:jc w:val="both"/>
              <w:rPr>
                <w:rFonts w:ascii="Times New Roman" w:hAnsi="Times New Roman" w:eastAsia="" w:eastAsiaTheme="minorEastAsia"/>
                <w:b/>
                <w:sz w:val="18"/>
                <w:szCs w:val="18"/>
                <w:u w:val="single"/>
                <w:lang w:eastAsia="ru-RU"/>
              </w:rPr>
            </w:pPr>
            <w:r>
              <w:rPr>
                <w:rFonts w:eastAsia="" w:ascii="Times New Roman" w:hAnsi="Times New Roman" w:eastAsiaTheme="minorEastAsia"/>
                <w:b/>
                <w:sz w:val="18"/>
                <w:szCs w:val="18"/>
                <w:u w:val="single"/>
                <w:lang w:eastAsia="ru-RU"/>
              </w:rPr>
              <w:t xml:space="preserve">Гражданская ответственность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1" w:leader="none"/>
              </w:tabs>
              <w:spacing w:lineRule="auto" w:line="240" w:before="0" w:after="0"/>
              <w:ind w:left="79" w:hanging="0"/>
              <w:jc w:val="both"/>
              <w:rPr>
                <w:rFonts w:ascii="Times New Roman" w:hAnsi="Times New Roman" w:eastAsia="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eastAsia="" w:cs="Times New Roman" w:ascii="Times New Roman" w:hAnsi="Times New Roman" w:eastAsiaTheme="minorEastAsia"/>
                <w:sz w:val="18"/>
                <w:szCs w:val="18"/>
                <w:lang w:eastAsia="ru-RU"/>
              </w:rPr>
              <w:t>Полный перечень исключений указан пунктах 5, 6 Дополнительных условий №1 к Правилам</w:t>
            </w:r>
            <w:r>
              <w:rPr>
                <w:rFonts w:cs="Times New Roman"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>
        <w:trPr>
          <w:trHeight w:val="20" w:hRule="atLeast"/>
        </w:trPr>
        <w:tc>
          <w:tcPr>
            <w:tcW w:w="10202" w:type="dxa"/>
            <w:gridSpan w:val="2"/>
            <w:tcBorders>
              <w:lef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  <w:p>
            <w:pPr>
              <w:pStyle w:val="ConsPlusNormal"/>
              <w:widowControl w:val="false"/>
              <w:numPr>
                <w:ilvl w:val="0"/>
                <w:numId w:val="0"/>
              </w:numPr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  <w:p>
            <w:pPr>
              <w:pStyle w:val="ConsPlusNormal"/>
              <w:widowControl w:val="false"/>
              <w:numPr>
                <w:ilvl w:val="0"/>
                <w:numId w:val="0"/>
              </w:numPr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Раздел III. ТЕРРИТОРИЯ СТРАХОВАНИЯ</w:t>
            </w:r>
          </w:p>
        </w:tc>
        <w:tc>
          <w:tcPr>
            <w:tcW w:w="146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78" w:hRule="atLeast"/>
        </w:trPr>
        <w:tc>
          <w:tcPr>
            <w:tcW w:w="10202" w:type="dxa"/>
            <w:gridSpan w:val="2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" w:cs="Times New Roman" w:eastAsiaTheme="minorEastAsia"/>
                <w:sz w:val="18"/>
                <w:szCs w:val="18"/>
                <w:lang w:eastAsia="ru-RU"/>
              </w:rPr>
            </w:pPr>
            <w:r>
              <w:rPr>
                <w:rFonts w:eastAsia="" w:cs="Times New Roman" w:ascii="Times New Roman" w:hAnsi="Times New Roman" w:eastAsiaTheme="minorEastAsia"/>
                <w:sz w:val="18"/>
                <w:szCs w:val="18"/>
                <w:lang w:eastAsia="ru-RU"/>
              </w:rPr>
              <w:t>Адрес объекта страхования по месту регистрации Страхователя в пределах границ Российской Федерации</w:t>
            </w:r>
          </w:p>
        </w:tc>
        <w:tc>
          <w:tcPr>
            <w:tcW w:w="146" w:type="dxa"/>
            <w:vMerge w:val="continue"/>
            <w:tcBorders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61" w:hRule="atLeast"/>
        </w:trPr>
        <w:tc>
          <w:tcPr>
            <w:tcW w:w="1034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Раздел IV. КАК ПОЛУЧИТЬ СТРАХОВУЮ ВЫПЛАТУ?</w:t>
            </w:r>
          </w:p>
        </w:tc>
      </w:tr>
      <w:tr>
        <w:trPr>
          <w:trHeight w:val="181" w:hRule="atLeast"/>
        </w:trPr>
        <w:tc>
          <w:tcPr>
            <w:tcW w:w="10348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216" w:hanging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Заявление об осуществлении страховой выплаты (страхового возмещения) подается в течение 24 часов после того, как Страхователю стало известно о наступление страхового события, любым из предложенных ниже способов: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223" w:firstLine="283"/>
              <w:rPr>
                <w:rFonts w:ascii="Times New Roman" w:hAnsi="Times New Roman" w:cs="Times New Roman"/>
                <w:color w:val="262626"/>
                <w:sz w:val="18"/>
                <w:szCs w:val="18"/>
                <w:lang w:eastAsia="en-US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сообщением через Telegram:</w:t>
            </w:r>
            <w:r>
              <w:rPr>
                <w:rFonts w:cs="Times New Roman" w:ascii="Times New Roman" w:hAnsi="Times New Roman"/>
                <w:color w:val="262626"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color w:val="262626"/>
                <w:sz w:val="18"/>
                <w:szCs w:val="18"/>
                <w:lang w:eastAsia="en-US"/>
              </w:rPr>
              <w:t>@ReninsChatbot (</w:t>
            </w:r>
            <w:hyperlink r:id="rId5">
              <w:r>
                <w:rPr>
                  <w:rStyle w:val="-"/>
                  <w:rFonts w:cs="Times New Roman" w:ascii="Times New Roman" w:hAnsi="Times New Roman"/>
                  <w:b/>
                  <w:bCs/>
                  <w:color w:val="262626"/>
                  <w:sz w:val="18"/>
                  <w:szCs w:val="18"/>
                  <w:lang w:eastAsia="en-US"/>
                </w:rPr>
                <w:t>https://t.me/ReninsChatbot</w:t>
              </w:r>
            </w:hyperlink>
            <w:r>
              <w:rPr>
                <w:rFonts w:cs="Times New Roman" w:ascii="Times New Roman" w:hAnsi="Times New Roman"/>
                <w:b/>
                <w:bCs/>
                <w:color w:val="262626"/>
                <w:sz w:val="18"/>
                <w:szCs w:val="18"/>
                <w:lang w:eastAsia="en-US"/>
              </w:rPr>
              <w:t>)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223" w:firstLine="283"/>
              <w:rPr>
                <w:rFonts w:ascii="Times New Roman" w:hAnsi="Times New Roman" w:cs="Times New Roman"/>
                <w:color w:val="262626"/>
                <w:sz w:val="18"/>
                <w:szCs w:val="18"/>
                <w:lang w:eastAsia="en-US"/>
              </w:rPr>
            </w:pPr>
            <w:r>
              <w:rPr>
                <w:rFonts w:cs="Times New Roman" w:ascii="Times New Roman" w:hAnsi="Times New Roman"/>
                <w:color w:val="262626"/>
                <w:sz w:val="18"/>
                <w:szCs w:val="18"/>
                <w:lang w:eastAsia="en-US"/>
              </w:rPr>
              <w:t xml:space="preserve">по телефону </w:t>
            </w:r>
            <w:r>
              <w:rPr>
                <w:rFonts w:cs="Times New Roman" w:ascii="Times New Roman" w:hAnsi="Times New Roman"/>
                <w:b/>
                <w:bCs/>
                <w:color w:val="262626"/>
                <w:sz w:val="18"/>
                <w:szCs w:val="18"/>
                <w:lang w:eastAsia="en-US"/>
              </w:rPr>
              <w:t>8-800-333-8-800 (звонок бесплатный)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223" w:firstLine="283"/>
              <w:rPr>
                <w:rFonts w:ascii="Times New Roman" w:hAnsi="Times New Roman" w:cs="Times New Roman"/>
                <w:color w:val="262626"/>
                <w:sz w:val="18"/>
                <w:szCs w:val="18"/>
                <w:lang w:eastAsia="en-US"/>
              </w:rPr>
            </w:pPr>
            <w:r>
              <w:rPr>
                <w:rFonts w:cs="Times New Roman" w:ascii="Times New Roman" w:hAnsi="Times New Roman"/>
                <w:color w:val="262626"/>
                <w:sz w:val="18"/>
                <w:szCs w:val="18"/>
                <w:lang w:eastAsia="en-US"/>
              </w:rPr>
              <w:t xml:space="preserve">через онлайн-форму уведомления на сайте </w:t>
            </w: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  <w:lang w:eastAsia="en-US"/>
              </w:rPr>
              <w:t>www.renins.</w:t>
            </w: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  <w:lang w:val="en-US" w:eastAsia="en-US"/>
              </w:rPr>
              <w:t>ru</w:t>
            </w:r>
            <w:r>
              <w:rPr>
                <w:rFonts w:cs="Times New Roman" w:ascii="Times New Roman" w:hAnsi="Times New Roman"/>
                <w:b/>
                <w:bCs/>
                <w:color w:val="262626"/>
                <w:sz w:val="18"/>
                <w:szCs w:val="18"/>
                <w:lang w:eastAsia="en-US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262626"/>
                <w:sz w:val="18"/>
                <w:szCs w:val="18"/>
              </w:rPr>
              <w:t xml:space="preserve">по электронному адресу — </w:t>
            </w: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>propertyclaims@renins.</w:t>
            </w: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  <w:lang w:val="en-US"/>
              </w:rPr>
              <w:t>ru</w:t>
            </w:r>
            <w:r>
              <w:rPr>
                <w:rFonts w:cs="Times New Roman" w:ascii="Times New Roman" w:hAnsi="Times New Roman"/>
                <w:color w:val="262626"/>
                <w:sz w:val="18"/>
                <w:szCs w:val="18"/>
              </w:rPr>
              <w:t xml:space="preserve">   </w:t>
            </w:r>
          </w:p>
        </w:tc>
      </w:tr>
      <w:tr>
        <w:trPr/>
        <w:tc>
          <w:tcPr>
            <w:tcW w:w="10348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 w:val="false"/>
              <w:jc w:val="both"/>
              <w:rPr>
                <w:rFonts w:ascii="Times New Roman" w:hAnsi="Times New Roman" w:cs="Times New Roman"/>
                <w:color w:val="262626"/>
                <w:sz w:val="18"/>
                <w:szCs w:val="18"/>
                <w:lang w:eastAsia="en-US"/>
              </w:rPr>
            </w:pPr>
            <w:r>
              <w:rPr>
                <w:rFonts w:cs="Times New Roman" w:ascii="Times New Roman" w:hAnsi="Times New Roman"/>
                <w:color w:val="262626"/>
                <w:sz w:val="18"/>
                <w:szCs w:val="18"/>
                <w:lang w:eastAsia="en-US"/>
              </w:rPr>
              <w:t>Для получения страховой выплаты (страхового возмещения) требуется представить документы:</w:t>
            </w:r>
          </w:p>
          <w:p>
            <w:pPr>
              <w:pStyle w:val="ConsPlusNonformat"/>
              <w:widowControl w:val="false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262626"/>
                <w:sz w:val="18"/>
                <w:szCs w:val="18"/>
                <w:lang w:eastAsia="en-US"/>
              </w:rPr>
              <w:t xml:space="preserve">по риску Гражданская ответственность, указанные в п. 13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Дополнительных условий №1 к Правилам</w:t>
            </w:r>
          </w:p>
          <w:p>
            <w:pPr>
              <w:pStyle w:val="ConsPlusNonformat"/>
              <w:widowControl w:val="false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по остальным рискам, </w:t>
            </w:r>
            <w:r>
              <w:rPr>
                <w:rFonts w:cs="Times New Roman" w:ascii="Times New Roman" w:hAnsi="Times New Roman"/>
                <w:color w:val="262626"/>
                <w:sz w:val="18"/>
                <w:szCs w:val="18"/>
                <w:lang w:eastAsia="en-US"/>
              </w:rPr>
              <w:t>указанные в п. 10.3.6. Правил</w:t>
            </w:r>
          </w:p>
          <w:p>
            <w:pPr>
              <w:pStyle w:val="ConsPlusNormal"/>
              <w:widowControl w:val="false"/>
              <w:numPr>
                <w:ilvl w:val="0"/>
                <w:numId w:val="0"/>
              </w:numPr>
              <w:jc w:val="both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262626"/>
                <w:sz w:val="18"/>
                <w:szCs w:val="18"/>
              </w:rPr>
              <w:t xml:space="preserve">      </w:t>
            </w:r>
            <w:r>
              <w:rPr>
                <w:rFonts w:cs="Times New Roman" w:ascii="Times New Roman" w:hAnsi="Times New Roman"/>
                <w:color w:val="262626"/>
                <w:sz w:val="18"/>
                <w:szCs w:val="18"/>
              </w:rPr>
              <w:t>Страховая выплата (страховое возмещение) осуществляется в течение 15 (пятнадцати) рабочих дней со дня представления указанных документов.</w:t>
            </w:r>
          </w:p>
        </w:tc>
      </w:tr>
      <w:tr>
        <w:trPr/>
        <w:tc>
          <w:tcPr>
            <w:tcW w:w="10348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262626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Раздел V. КАК ВЕРНУТЬ СТРАХОВУЮ ПРЕМИЮ?</w:t>
            </w:r>
          </w:p>
        </w:tc>
      </w:tr>
      <w:tr>
        <w:trPr/>
        <w:tc>
          <w:tcPr>
            <w:tcW w:w="4962" w:type="dxa"/>
            <w:tcBorders>
              <w:lef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Основания для возврата страховой премии</w:t>
            </w:r>
          </w:p>
        </w:tc>
        <w:tc>
          <w:tcPr>
            <w:tcW w:w="5386" w:type="dxa"/>
            <w:gridSpan w:val="2"/>
            <w:tcBorders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Сумма возврата страховой премии</w:t>
            </w:r>
          </w:p>
        </w:tc>
      </w:tr>
      <w:tr>
        <w:trPr/>
        <w:tc>
          <w:tcPr>
            <w:tcW w:w="4962" w:type="dxa"/>
            <w:vMerge w:val="restart"/>
            <w:tcBorders>
              <w:lef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 w:eastAsiaTheme="minorHAnsi"/>
                <w:color w:val="262626"/>
                <w:sz w:val="18"/>
                <w:szCs w:val="18"/>
                <w:lang w:eastAsia="en-US"/>
              </w:rPr>
              <w:t>Отказ от договора добровольного страхования в течение 30 календарных дней со дня его заключения в соответствии с Указанием Банка России от 20 ноября 2015 года № 3854-У "О минимальных (стандартных) требованиях к условиям и порядку осуществления отдельных видов добровольного страхования"</w:t>
            </w:r>
          </w:p>
        </w:tc>
        <w:tc>
          <w:tcPr>
            <w:tcW w:w="5386" w:type="dxa"/>
            <w:gridSpan w:val="2"/>
            <w:tcBorders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 w:eastAsiaTheme="minorHAnsi"/>
                <w:color w:val="262626"/>
                <w:sz w:val="18"/>
                <w:szCs w:val="18"/>
                <w:lang w:eastAsia="en-US"/>
              </w:rPr>
              <w:t>100% от страховой премии — при отказе от договора добровольного страхования до даты начала действия страхования;</w:t>
            </w:r>
          </w:p>
        </w:tc>
      </w:tr>
      <w:tr>
        <w:trPr/>
        <w:tc>
          <w:tcPr>
            <w:tcW w:w="4962" w:type="dxa"/>
            <w:vMerge w:val="continue"/>
            <w:tcBorders>
              <w:lef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5386" w:type="dxa"/>
            <w:gridSpan w:val="2"/>
            <w:tcBorders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 w:eastAsiaTheme="minorHAnsi"/>
                <w:color w:val="262626"/>
                <w:sz w:val="18"/>
                <w:szCs w:val="18"/>
                <w:lang w:eastAsia="en-US"/>
              </w:rPr>
              <w:t>100% от страховой премии за вычетом части страховой премии, исчисляемой пропорционально времени, в течение которого действовало страхование — при отказе от договора добровольного страхования после даты начала действия страхования, при условии отсутствия в данном периоде событий, имеющих признаки страхового случая.</w:t>
            </w:r>
          </w:p>
        </w:tc>
      </w:tr>
      <w:tr>
        <w:trPr/>
        <w:tc>
          <w:tcPr>
            <w:tcW w:w="4962" w:type="dxa"/>
            <w:tcBorders>
              <w:lef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 w:eastAsiaTheme="minorHAnsi"/>
                <w:color w:val="262626"/>
                <w:sz w:val="18"/>
                <w:szCs w:val="18"/>
                <w:lang w:eastAsia="en-US"/>
              </w:rPr>
              <w:t>Отказ от договора добровольного страхования в случае ненадлежащего информирования об условиях страхования</w:t>
            </w:r>
          </w:p>
        </w:tc>
        <w:tc>
          <w:tcPr>
            <w:tcW w:w="5386" w:type="dxa"/>
            <w:gridSpan w:val="2"/>
            <w:tcBorders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 w:eastAsiaTheme="minorHAnsi"/>
                <w:color w:val="262626"/>
                <w:sz w:val="18"/>
                <w:szCs w:val="18"/>
                <w:lang w:eastAsia="en-US"/>
              </w:rPr>
              <w:t>100% от страховой премии за вычетом части страховой премии, исчисляемой пропорционально времени, в течение которого действовало страхование, при условии отсутствия в данном периоде событий, имеющих признаки страхового случая.</w:t>
            </w:r>
          </w:p>
        </w:tc>
      </w:tr>
      <w:tr>
        <w:trPr>
          <w:trHeight w:val="13" w:hRule="atLeast"/>
        </w:trPr>
        <w:tc>
          <w:tcPr>
            <w:tcW w:w="10348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 w:eastAsiaTheme="minorHAnsi"/>
                <w:color w:val="262626"/>
                <w:sz w:val="18"/>
                <w:szCs w:val="18"/>
                <w:lang w:eastAsia="en-US"/>
              </w:rPr>
              <w:t>В иных случаях страховая премия возврату не подлежит.</w:t>
            </w:r>
          </w:p>
        </w:tc>
      </w:tr>
      <w:tr>
        <w:trPr/>
        <w:tc>
          <w:tcPr>
            <w:tcW w:w="1034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 w:val="false"/>
              <w:jc w:val="both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 w:eastAsiaTheme="minorHAnsi"/>
                <w:color w:val="262626"/>
                <w:sz w:val="18"/>
                <w:szCs w:val="18"/>
                <w:lang w:eastAsia="en-US"/>
              </w:rPr>
              <w:t>Возврат страховой премии осуществляется в течение 7 (семи) рабочих дней со дня получения соответствующего заявления.</w:t>
            </w:r>
          </w:p>
        </w:tc>
      </w:tr>
      <w:tr>
        <w:trPr/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Раздел VI. КАК УРЕГУЛИРОВАТЬ СПОР ДО СУДА?</w:t>
            </w:r>
          </w:p>
        </w:tc>
      </w:tr>
      <w:tr>
        <w:trPr>
          <w:trHeight w:val="13" w:hRule="atLeast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outlineLvl w:val="1"/>
              <w:rPr>
                <w:rFonts w:ascii="Times New Roman" w:hAnsi="Times New Roman" w:cs="Times New Roman"/>
                <w:color w:val="262626" w:themeColor="text1" w:themeTint="d9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262626" w:themeColor="text1" w:themeTint="d9"/>
                <w:sz w:val="18"/>
                <w:szCs w:val="18"/>
              </w:rPr>
              <w:t>Направить Страховщику Заявление (претензию) в письменной форме.</w:t>
            </w:r>
          </w:p>
          <w:p>
            <w:pPr>
              <w:pStyle w:val="ConsPlusNormal"/>
              <w:widowControl w:val="false"/>
              <w:numPr>
                <w:ilvl w:val="0"/>
                <w:numId w:val="0"/>
              </w:numPr>
              <w:outlineLvl w:val="1"/>
              <w:rPr>
                <w:rFonts w:ascii="Times New Roman" w:hAnsi="Times New Roman" w:cs="Times New Roman"/>
                <w:color w:val="262626" w:themeColor="text1" w:themeTint="d9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262626" w:themeColor="text1" w:themeTint="d9"/>
                <w:sz w:val="18"/>
                <w:szCs w:val="18"/>
              </w:rPr>
              <w:t xml:space="preserve">В случае если Страховщик не удовлетворил заявление (претензию) и при этом размер требований не превышает </w:t>
            </w:r>
            <w:r>
              <w:rPr>
                <w:rFonts w:cs="Times New Roman" w:ascii="Times New Roman" w:hAnsi="Times New Roman"/>
                <w:b/>
                <w:color w:val="262626" w:themeColor="text1" w:themeTint="d9"/>
                <w:sz w:val="18"/>
                <w:szCs w:val="18"/>
              </w:rPr>
              <w:t>500 000 (пятьсот тысяч) рублей</w:t>
            </w:r>
            <w:r>
              <w:rPr>
                <w:rFonts w:cs="Times New Roman" w:ascii="Times New Roman" w:hAnsi="Times New Roman"/>
                <w:color w:val="262626" w:themeColor="text1" w:themeTint="d9"/>
                <w:sz w:val="18"/>
                <w:szCs w:val="18"/>
              </w:rPr>
              <w:t>, до обращения в суд необходимо обратиться к уполномоченному по правам потребителей финансовых услуг (</w:t>
            </w:r>
            <w:r>
              <w:rPr>
                <w:rFonts w:cs="Times New Roman" w:ascii="Times New Roman" w:hAnsi="Times New Roman"/>
                <w:b/>
                <w:color w:val="262626" w:themeColor="text1" w:themeTint="d9"/>
                <w:sz w:val="18"/>
                <w:szCs w:val="18"/>
              </w:rPr>
              <w:t>сайт: www.finombudsman.ru; адрес: 119017, г. Москва, Старомонетный пер., дом 3</w:t>
            </w:r>
            <w:r>
              <w:rPr>
                <w:rFonts w:cs="Times New Roman" w:ascii="Times New Roman" w:hAnsi="Times New Roman"/>
                <w:color w:val="262626" w:themeColor="text1" w:themeTint="d9"/>
                <w:sz w:val="18"/>
                <w:szCs w:val="18"/>
              </w:rPr>
              <w:t>).</w:t>
            </w:r>
          </w:p>
          <w:p>
            <w:pPr>
              <w:pStyle w:val="ConsPlusNormal"/>
              <w:widowControl w:val="false"/>
              <w:numPr>
                <w:ilvl w:val="0"/>
                <w:numId w:val="0"/>
              </w:numPr>
              <w:jc w:val="both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262626" w:themeColor="text1" w:themeTint="d9"/>
                <w:sz w:val="18"/>
                <w:szCs w:val="18"/>
              </w:rPr>
              <w:t>Рассмотрение уполномоченным по правам потребителей финансовых услуг обращения   потребителя финансовых услуг осуществляется бесплатно.</w:t>
            </w:r>
          </w:p>
        </w:tc>
      </w:tr>
    </w:tbl>
    <w:p>
      <w:pPr>
        <w:pStyle w:val="ConsPlusNormal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ConsPlusNormal"/>
        <w:jc w:val="both"/>
        <w:rPr>
          <w:sz w:val="18"/>
          <w:szCs w:val="18"/>
        </w:rPr>
      </w:pPr>
      <w:r>
        <w:rPr>
          <w:sz w:val="18"/>
          <w:szCs w:val="18"/>
        </w:rPr>
      </w:r>
    </w:p>
    <w:sectPr>
      <w:headerReference w:type="default" r:id="rId6"/>
      <w:footerReference w:type="default" r:id="rId7"/>
      <w:type w:val="nextPage"/>
      <w:pgSz w:w="11906" w:h="16838"/>
      <w:pgMar w:left="1701" w:right="595" w:gutter="0" w:header="567" w:top="624" w:footer="709" w:bottom="766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Segoe U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7"/>
      <w:rPr/>
    </w:pPr>
    <w:r>
      <w:rPr/>
    </w:r>
  </w:p>
  <w:p>
    <w:pPr>
      <w:pStyle w:val="Normal"/>
      <w:rPr/>
    </w:pPr>
    <w:r>
      <w:rPr/>
    </w:r>
  </w:p>
  <w:p>
    <w:pPr>
      <w:pStyle w:val="Normal"/>
      <w:widowControl/>
      <w:bidi w:val="0"/>
      <w:spacing w:lineRule="auto" w:line="259" w:before="0" w:after="160"/>
      <w:jc w:val="lef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474421225"/>
    </w:sdtPr>
    <w:sdtContent>
      <w:p>
        <w:pPr>
          <w:pStyle w:val="Style26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Style26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153" w:hanging="360"/>
      </w:pPr>
      <w:rPr>
        <w:rFonts w:ascii="Symbol" w:hAnsi="Symbol" w:cs="Symbol" w:hint="default"/>
        <w:w w:val="100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8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59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31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75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47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913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widowControl/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3">
    <w:name w:val="Heading 3"/>
    <w:basedOn w:val="Normal"/>
    <w:next w:val="Normal"/>
    <w:link w:val="31"/>
    <w:uiPriority w:val="99"/>
    <w:qFormat/>
    <w:rsid w:val="00b47121"/>
    <w:pPr>
      <w:keepNext w:val="true"/>
      <w:keepLines/>
      <w:spacing w:lineRule="auto" w:line="276" w:before="200" w:after="0"/>
      <w:outlineLvl w:val="2"/>
    </w:pPr>
    <w:rPr>
      <w:rFonts w:ascii="Cambria" w:hAnsi="Cambria" w:eastAsia="Times New Roman" w:cs="Times New Roman"/>
      <w:b/>
      <w:bCs/>
      <w:color w:val="4F81BD"/>
      <w:sz w:val="24"/>
      <w:szCs w:val="24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217847"/>
    <w:rPr>
      <w:sz w:val="16"/>
      <w:szCs w:val="16"/>
    </w:rPr>
  </w:style>
  <w:style w:type="character" w:styleId="Style13" w:customStyle="1">
    <w:name w:val="Текст примечания Знак"/>
    <w:basedOn w:val="DefaultParagraphFont"/>
    <w:link w:val="Annotationtext"/>
    <w:uiPriority w:val="99"/>
    <w:semiHidden/>
    <w:qFormat/>
    <w:rsid w:val="00217847"/>
    <w:rPr>
      <w:sz w:val="20"/>
      <w:szCs w:val="20"/>
    </w:rPr>
  </w:style>
  <w:style w:type="character" w:styleId="Style14" w:customStyle="1">
    <w:name w:val="Тема примечания Знак"/>
    <w:basedOn w:val="Style13"/>
    <w:link w:val="Annotationsubject"/>
    <w:uiPriority w:val="99"/>
    <w:semiHidden/>
    <w:qFormat/>
    <w:rsid w:val="00217847"/>
    <w:rPr>
      <w:b/>
      <w:bCs/>
      <w:sz w:val="20"/>
      <w:szCs w:val="20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217847"/>
    <w:rPr>
      <w:rFonts w:ascii="Segoe UI" w:hAnsi="Segoe UI" w:cs="Segoe UI"/>
      <w:sz w:val="18"/>
      <w:szCs w:val="18"/>
    </w:rPr>
  </w:style>
  <w:style w:type="character" w:styleId="-">
    <w:name w:val="Hyperlink"/>
    <w:uiPriority w:val="99"/>
    <w:unhideWhenUsed/>
    <w:rsid w:val="00b63759"/>
    <w:rPr>
      <w:color w:val="0563C1"/>
      <w:u w:val="single"/>
    </w:rPr>
  </w:style>
  <w:style w:type="character" w:styleId="2" w:customStyle="1">
    <w:name w:val="Основной текст 2 Знак"/>
    <w:basedOn w:val="DefaultParagraphFont"/>
    <w:link w:val="BodyText2"/>
    <w:qFormat/>
    <w:rsid w:val="00b63759"/>
    <w:rPr>
      <w:rFonts w:ascii="Tahoma" w:hAnsi="Tahoma" w:eastAsia="Times New Roman" w:cs="Tahoma"/>
      <w:sz w:val="16"/>
      <w:szCs w:val="16"/>
    </w:rPr>
  </w:style>
  <w:style w:type="character" w:styleId="Style16" w:customStyle="1">
    <w:name w:val="Абзац списка Знак"/>
    <w:link w:val="ListParagraph"/>
    <w:uiPriority w:val="99"/>
    <w:qFormat/>
    <w:locked/>
    <w:rsid w:val="001e423d"/>
    <w:rPr>
      <w:rFonts w:ascii="Calibri" w:hAnsi="Calibri" w:eastAsia="Calibri" w:cs="Times New Roman"/>
    </w:rPr>
  </w:style>
  <w:style w:type="character" w:styleId="31" w:customStyle="1">
    <w:name w:val="Заголовок 3 Знак"/>
    <w:basedOn w:val="DefaultParagraphFont"/>
    <w:uiPriority w:val="99"/>
    <w:qFormat/>
    <w:rsid w:val="00b47121"/>
    <w:rPr>
      <w:rFonts w:ascii="Cambria" w:hAnsi="Cambria" w:eastAsia="Times New Roman" w:cs="Times New Roman"/>
      <w:b/>
      <w:bCs/>
      <w:color w:val="4F81BD"/>
      <w:sz w:val="24"/>
      <w:szCs w:val="24"/>
      <w:lang w:eastAsia="ru-RU"/>
    </w:rPr>
  </w:style>
  <w:style w:type="character" w:styleId="Style17" w:customStyle="1">
    <w:name w:val="Верхний колонтитул Знак"/>
    <w:basedOn w:val="DefaultParagraphFont"/>
    <w:uiPriority w:val="99"/>
    <w:qFormat/>
    <w:rsid w:val="00764b9c"/>
    <w:rPr/>
  </w:style>
  <w:style w:type="character" w:styleId="Style18" w:customStyle="1">
    <w:name w:val="Нижний колонтитул Знак"/>
    <w:basedOn w:val="DefaultParagraphFont"/>
    <w:uiPriority w:val="99"/>
    <w:qFormat/>
    <w:rsid w:val="00764b9c"/>
    <w:rPr/>
  </w:style>
  <w:style w:type="character" w:styleId="Style19">
    <w:name w:val="FollowedHyperlink"/>
    <w:basedOn w:val="DefaultParagraphFont"/>
    <w:uiPriority w:val="99"/>
    <w:semiHidden/>
    <w:unhideWhenUsed/>
    <w:rsid w:val="00c26af7"/>
    <w:rPr>
      <w:color w:val="954F72" w:themeColor="followedHyperlink"/>
      <w:u w:val="single"/>
    </w:rPr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1">
    <w:name w:val="Body Text"/>
    <w:basedOn w:val="Normal"/>
    <w:pPr>
      <w:spacing w:lineRule="auto" w:line="276" w:before="0" w:after="140"/>
    </w:pPr>
    <w:rPr/>
  </w:style>
  <w:style w:type="paragraph" w:styleId="Style22">
    <w:name w:val="List"/>
    <w:basedOn w:val="Style21"/>
    <w:pPr/>
    <w:rPr>
      <w:rFonts w:cs="Ari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Arial"/>
    </w:rPr>
  </w:style>
  <w:style w:type="paragraph" w:styleId="ConsPlusNormal" w:customStyle="1">
    <w:name w:val="ConsPlusNormal"/>
    <w:qFormat/>
    <w:rsid w:val="005b5e49"/>
    <w:pPr>
      <w:widowControl w:val="false"/>
      <w:bidi w:val="0"/>
      <w:spacing w:lineRule="auto" w:line="240" w:before="0" w:after="0"/>
      <w:jc w:val="left"/>
    </w:pPr>
    <w:rPr>
      <w:rFonts w:ascii="Arial" w:hAnsi="Arial" w:eastAsia="" w:cs="Arial" w:eastAsiaTheme="minorEastAsia"/>
      <w:color w:val="auto"/>
      <w:kern w:val="0"/>
      <w:sz w:val="20"/>
      <w:szCs w:val="22"/>
      <w:lang w:eastAsia="ru-RU" w:val="ru-RU" w:bidi="ar-SA"/>
    </w:rPr>
  </w:style>
  <w:style w:type="paragraph" w:styleId="ConsPlusNonformat" w:customStyle="1">
    <w:name w:val="ConsPlusNonformat"/>
    <w:qFormat/>
    <w:rsid w:val="005b5e49"/>
    <w:pPr>
      <w:widowControl w:val="false"/>
      <w:bidi w:val="0"/>
      <w:spacing w:lineRule="auto" w:line="240"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2"/>
      <w:lang w:eastAsia="ru-RU" w:val="ru-RU" w:bidi="ar-SA"/>
    </w:rPr>
  </w:style>
  <w:style w:type="paragraph" w:styleId="ConsPlusTitle" w:customStyle="1">
    <w:name w:val="ConsPlusTitle"/>
    <w:qFormat/>
    <w:rsid w:val="005b5e49"/>
    <w:pPr>
      <w:widowControl w:val="false"/>
      <w:bidi w:val="0"/>
      <w:spacing w:lineRule="auto" w:line="240" w:before="0" w:after="0"/>
      <w:jc w:val="left"/>
    </w:pPr>
    <w:rPr>
      <w:rFonts w:ascii="Arial" w:hAnsi="Arial" w:eastAsia="" w:cs="Arial" w:eastAsiaTheme="minorEastAsia"/>
      <w:b/>
      <w:color w:val="auto"/>
      <w:kern w:val="0"/>
      <w:sz w:val="20"/>
      <w:szCs w:val="22"/>
      <w:lang w:eastAsia="ru-RU" w:val="ru-RU" w:bidi="ar-SA"/>
    </w:rPr>
  </w:style>
  <w:style w:type="paragraph" w:styleId="ConsPlusTitlePage" w:customStyle="1">
    <w:name w:val="ConsPlusTitlePage"/>
    <w:qFormat/>
    <w:rsid w:val="005b5e49"/>
    <w:pPr>
      <w:widowControl w:val="false"/>
      <w:bidi w:val="0"/>
      <w:spacing w:lineRule="auto" w:line="240" w:before="0" w:after="0"/>
      <w:jc w:val="left"/>
    </w:pPr>
    <w:rPr>
      <w:rFonts w:ascii="Tahoma" w:hAnsi="Tahoma" w:eastAsia="" w:cs="Tahoma" w:eastAsiaTheme="minorEastAsia"/>
      <w:color w:val="auto"/>
      <w:kern w:val="0"/>
      <w:sz w:val="20"/>
      <w:szCs w:val="22"/>
      <w:lang w:eastAsia="ru-RU" w:val="ru-RU" w:bidi="ar-SA"/>
    </w:rPr>
  </w:style>
  <w:style w:type="paragraph" w:styleId="Annotationtext">
    <w:name w:val="annotation text"/>
    <w:basedOn w:val="Normal"/>
    <w:link w:val="Style13"/>
    <w:uiPriority w:val="99"/>
    <w:semiHidden/>
    <w:unhideWhenUsed/>
    <w:qFormat/>
    <w:rsid w:val="00217847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4"/>
    <w:uiPriority w:val="99"/>
    <w:semiHidden/>
    <w:unhideWhenUsed/>
    <w:qFormat/>
    <w:rsid w:val="00217847"/>
    <w:pPr/>
    <w:rPr>
      <w:b/>
      <w:bCs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21784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qFormat/>
    <w:rsid w:val="00b63759"/>
    <w:pPr>
      <w:overflowPunct w:val="true"/>
      <w:spacing w:lineRule="auto" w:line="240" w:before="0" w:after="0"/>
      <w:jc w:val="center"/>
      <w:textAlignment w:val="baseline"/>
    </w:pPr>
    <w:rPr>
      <w:rFonts w:ascii="Tahoma" w:hAnsi="Tahoma" w:eastAsia="Times New Roman" w:cs="Tahoma"/>
      <w:b/>
      <w:bCs/>
      <w:sz w:val="24"/>
      <w:szCs w:val="24"/>
    </w:rPr>
  </w:style>
  <w:style w:type="paragraph" w:styleId="ListParagraph">
    <w:name w:val="List Paragraph"/>
    <w:basedOn w:val="Normal"/>
    <w:link w:val="Style16"/>
    <w:uiPriority w:val="99"/>
    <w:qFormat/>
    <w:rsid w:val="00b63759"/>
    <w:pPr>
      <w:spacing w:lineRule="auto" w:line="254" w:before="0" w:after="160"/>
      <w:ind w:left="720" w:hanging="0"/>
      <w:contextualSpacing/>
    </w:pPr>
    <w:rPr>
      <w:rFonts w:ascii="Calibri" w:hAnsi="Calibri" w:eastAsia="Calibri" w:cs="Times New Roman"/>
    </w:rPr>
  </w:style>
  <w:style w:type="paragraph" w:styleId="BodyText2">
    <w:name w:val="Body Text 2"/>
    <w:basedOn w:val="Normal"/>
    <w:link w:val="2"/>
    <w:qFormat/>
    <w:rsid w:val="00b63759"/>
    <w:pPr>
      <w:overflowPunct w:val="true"/>
      <w:spacing w:lineRule="auto" w:line="240" w:before="0" w:after="0"/>
      <w:ind w:left="-1080" w:hanging="0"/>
      <w:textAlignment w:val="baseline"/>
    </w:pPr>
    <w:rPr>
      <w:rFonts w:ascii="Tahoma" w:hAnsi="Tahoma" w:eastAsia="Times New Roman" w:cs="Tahoma"/>
      <w:sz w:val="16"/>
      <w:szCs w:val="16"/>
    </w:rPr>
  </w:style>
  <w:style w:type="paragraph" w:styleId="Style25">
    <w:name w:val="Колонтитул"/>
    <w:basedOn w:val="Normal"/>
    <w:qFormat/>
    <w:pPr/>
    <w:rPr/>
  </w:style>
  <w:style w:type="paragraph" w:styleId="Style26">
    <w:name w:val="Header"/>
    <w:basedOn w:val="Normal"/>
    <w:link w:val="Style17"/>
    <w:uiPriority w:val="99"/>
    <w:unhideWhenUsed/>
    <w:rsid w:val="00764b9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7">
    <w:name w:val="Footer"/>
    <w:basedOn w:val="Normal"/>
    <w:link w:val="Style18"/>
    <w:uiPriority w:val="99"/>
    <w:unhideWhenUsed/>
    <w:rsid w:val="00764b9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Default" w:customStyle="1">
    <w:name w:val="Default"/>
    <w:qFormat/>
    <w:rsid w:val="007b2317"/>
    <w:pPr>
      <w:widowControl/>
      <w:bidi w:val="0"/>
      <w:spacing w:lineRule="auto" w:line="240" w:before="0" w:after="0"/>
      <w:jc w:val="left"/>
    </w:pPr>
    <w:rPr>
      <w:rFonts w:ascii="Calibri" w:hAnsi="Calibri" w:cs="Calibri" w:eastAsia="Calibri"/>
      <w:color w:val="000000"/>
      <w:kern w:val="0"/>
      <w:sz w:val="24"/>
      <w:szCs w:val="24"/>
      <w:lang w:val="ru-RU" w:eastAsia="en-US" w:bidi="ar-SA"/>
    </w:rPr>
  </w:style>
  <w:style w:type="paragraph" w:styleId="Style28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39"/>
    <w:rsid w:val="00764b9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https://www.renins.ru/KID?pravila-1_3" TargetMode="External"/><Relationship Id="rId5" Type="http://schemas.openxmlformats.org/officeDocument/2006/relationships/hyperlink" Target="https://t.me/ReninsChatbot" TargetMode=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1A613-BB13-4218-9D98-67D448472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Application>LibreOffice/7.5.8.2$Windows_X86_64 LibreOffice_project/f718d63693263970429a68f568db6046aaa9df01</Application>
  <AppVersion>15.0000</AppVersion>
  <Pages>2</Pages>
  <Words>895</Words>
  <Characters>6281</Characters>
  <CharactersWithSpaces>7114</CharactersWithSpaces>
  <Paragraphs>68</Paragraphs>
  <Company>АО «Группа Ренессанс Страхование»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2025-03-21T10:36:14Z</dcterms:created>
  <dc:creator/>
  <dc:description/>
  <dc:language>ru-RU</dc:language>
  <cp:lastModifiedBy/>
  <dcterms:modified xsi:type="dcterms:W3CDTF">2025-03-21T10:41:44Z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